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6FF8" w:rsidRPr="00377102" w:rsidRDefault="00916FF8">
      <w:pPr>
        <w:jc w:val="right"/>
        <w:rPr>
          <w:rFonts w:cs="Miriam"/>
          <w:b/>
          <w:bCs/>
          <w:sz w:val="16"/>
          <w:szCs w:val="16"/>
          <w:u w:val="single"/>
        </w:rPr>
      </w:pPr>
    </w:p>
    <w:tbl>
      <w:tblPr>
        <w:bidiVisual/>
        <w:tblW w:w="8363" w:type="dxa"/>
        <w:tblInd w:w="9" w:type="dxa"/>
        <w:tblLook w:val="0000" w:firstRow="0" w:lastRow="0" w:firstColumn="0" w:lastColumn="0" w:noHBand="0" w:noVBand="0"/>
      </w:tblPr>
      <w:tblGrid>
        <w:gridCol w:w="8363"/>
      </w:tblGrid>
      <w:tr w:rsidR="003E42B3" w:rsidTr="0039709B">
        <w:tc>
          <w:tcPr>
            <w:tcW w:w="7848" w:type="dxa"/>
          </w:tcPr>
          <w:p w:rsidR="00916FF8" w:rsidRPr="00624A42" w:rsidRDefault="00C8369C" w:rsidP="004C7868">
            <w:pPr>
              <w:pStyle w:val="FileNumber0"/>
              <w:rPr>
                <w:sz w:val="28"/>
                <w:u w:val="single"/>
                <w:rtl/>
              </w:rPr>
            </w:pPr>
            <w:r>
              <w:rPr>
                <w:u w:val="single"/>
                <w:rtl/>
              </w:rPr>
              <w:t>בבית המשפט העליון בשבתו כבית משפט גבוה לצדק</w:t>
            </w:r>
          </w:p>
        </w:tc>
      </w:tr>
    </w:tbl>
    <w:p w:rsidR="00916FF8" w:rsidRDefault="00916FF8">
      <w:pPr>
        <w:jc w:val="right"/>
        <w:rPr>
          <w:rFonts w:cs="Miriam"/>
          <w:b/>
          <w:bCs/>
          <w:u w:val="single"/>
        </w:rPr>
      </w:pPr>
    </w:p>
    <w:tbl>
      <w:tblPr>
        <w:bidiVisual/>
        <w:tblW w:w="8363" w:type="dxa"/>
        <w:tblLook w:val="0000" w:firstRow="0" w:lastRow="0" w:firstColumn="0" w:lastColumn="0" w:noHBand="0" w:noVBand="0"/>
      </w:tblPr>
      <w:tblGrid>
        <w:gridCol w:w="8363"/>
      </w:tblGrid>
      <w:tr w:rsidR="003E42B3" w:rsidTr="0039709B">
        <w:trPr>
          <w:trHeight w:val="342"/>
        </w:trPr>
        <w:tc>
          <w:tcPr>
            <w:tcW w:w="9828" w:type="dxa"/>
          </w:tcPr>
          <w:p w:rsidR="00916FF8" w:rsidRPr="00810894" w:rsidRDefault="00C8369C">
            <w:pPr>
              <w:pStyle w:val="FileNumber"/>
              <w:rPr>
                <w:sz w:val="28"/>
                <w:szCs w:val="28"/>
              </w:rPr>
            </w:pPr>
            <w:bookmarkStart w:id="0" w:name="casename_body"/>
            <w:r>
              <w:rPr>
                <w:sz w:val="28"/>
                <w:szCs w:val="28"/>
                <w:rtl/>
              </w:rPr>
              <w:t xml:space="preserve">בג"ץ  </w:t>
            </w:r>
            <w:bookmarkStart w:id="1" w:name="_GoBack"/>
            <w:r>
              <w:rPr>
                <w:sz w:val="28"/>
                <w:szCs w:val="28"/>
                <w:rtl/>
              </w:rPr>
              <w:t>7439/23</w:t>
            </w:r>
            <w:bookmarkEnd w:id="1"/>
          </w:p>
        </w:tc>
      </w:tr>
      <w:bookmarkEnd w:id="0"/>
    </w:tbl>
    <w:p w:rsidR="00916FF8" w:rsidRDefault="00916FF8">
      <w:pPr>
        <w:jc w:val="right"/>
        <w:rPr>
          <w:rFonts w:cs="Miriam"/>
          <w:b/>
          <w:bCs/>
          <w:u w:val="single"/>
        </w:rPr>
      </w:pPr>
    </w:p>
    <w:tbl>
      <w:tblPr>
        <w:bidiVisual/>
        <w:tblW w:w="8364" w:type="dxa"/>
        <w:tblLayout w:type="fixed"/>
        <w:tblLook w:val="0000" w:firstRow="0" w:lastRow="0" w:firstColumn="0" w:lastColumn="0" w:noHBand="0" w:noVBand="0"/>
      </w:tblPr>
      <w:tblGrid>
        <w:gridCol w:w="3210"/>
        <w:gridCol w:w="5154"/>
      </w:tblGrid>
      <w:tr w:rsidR="003E42B3" w:rsidTr="00EC23AC">
        <w:trPr>
          <w:trHeight w:val="287"/>
        </w:trPr>
        <w:tc>
          <w:tcPr>
            <w:tcW w:w="3261" w:type="dxa"/>
          </w:tcPr>
          <w:p w:rsidR="00036227" w:rsidRDefault="00C8369C">
            <w:pPr>
              <w:pStyle w:val="BodyRuller"/>
              <w:rPr>
                <w:rFonts w:cs="Miriam"/>
                <w:b/>
                <w:bCs/>
                <w:u w:val="single"/>
              </w:rPr>
            </w:pPr>
            <w:r>
              <w:rPr>
                <w:rFonts w:hint="cs"/>
                <w:rtl/>
              </w:rPr>
              <w:t>ל</w:t>
            </w:r>
            <w:r>
              <w:rPr>
                <w:rtl/>
              </w:rPr>
              <w:t>פני:</w:t>
            </w:r>
            <w:r>
              <w:rPr>
                <w:rtl/>
              </w:rPr>
              <w:tab/>
            </w:r>
          </w:p>
        </w:tc>
        <w:tc>
          <w:tcPr>
            <w:tcW w:w="5239" w:type="dxa"/>
          </w:tcPr>
          <w:p w:rsidR="00036227" w:rsidRDefault="00C8369C">
            <w:pPr>
              <w:pStyle w:val="BodyRuller"/>
            </w:pPr>
            <w:r>
              <w:rPr>
                <w:rtl/>
              </w:rPr>
              <w:t>כבוד השופט נ' סולברג</w:t>
            </w:r>
          </w:p>
        </w:tc>
      </w:tr>
      <w:tr w:rsidR="003E42B3" w:rsidTr="00EC23AC">
        <w:trPr>
          <w:trHeight w:val="287"/>
        </w:trPr>
        <w:tc>
          <w:tcPr>
            <w:tcW w:w="3261" w:type="dxa"/>
          </w:tcPr>
          <w:p w:rsidR="00FA08AB" w:rsidRDefault="00FA08AB">
            <w:pPr>
              <w:pStyle w:val="BodyRuller"/>
              <w:rPr>
                <w:rtl/>
              </w:rPr>
            </w:pPr>
          </w:p>
        </w:tc>
        <w:tc>
          <w:tcPr>
            <w:tcW w:w="5239" w:type="dxa"/>
          </w:tcPr>
          <w:p w:rsidR="00FA08AB" w:rsidRDefault="00C8369C">
            <w:pPr>
              <w:pStyle w:val="BodyRuller"/>
              <w:rPr>
                <w:rtl/>
              </w:rPr>
            </w:pPr>
            <w:r>
              <w:rPr>
                <w:rtl/>
              </w:rPr>
              <w:t>כבוד השופטת י' וילנר</w:t>
            </w:r>
          </w:p>
        </w:tc>
      </w:tr>
      <w:tr w:rsidR="003E42B3" w:rsidTr="00EC23AC">
        <w:trPr>
          <w:trHeight w:val="287"/>
        </w:trPr>
        <w:tc>
          <w:tcPr>
            <w:tcW w:w="3261" w:type="dxa"/>
          </w:tcPr>
          <w:p w:rsidR="00FA08AB" w:rsidRDefault="00FA08AB">
            <w:pPr>
              <w:pStyle w:val="BodyRuller"/>
              <w:rPr>
                <w:rtl/>
              </w:rPr>
            </w:pPr>
          </w:p>
        </w:tc>
        <w:tc>
          <w:tcPr>
            <w:tcW w:w="5239" w:type="dxa"/>
          </w:tcPr>
          <w:p w:rsidR="00FA08AB" w:rsidRDefault="00C8369C">
            <w:pPr>
              <w:pStyle w:val="BodyRuller"/>
              <w:rPr>
                <w:rtl/>
              </w:rPr>
            </w:pPr>
            <w:r>
              <w:rPr>
                <w:rtl/>
              </w:rPr>
              <w:t>כבוד השופטת ר' רונן</w:t>
            </w:r>
          </w:p>
        </w:tc>
      </w:tr>
    </w:tbl>
    <w:p w:rsidR="009E6C01" w:rsidRDefault="009E6C01" w:rsidP="009E6C01">
      <w:pPr>
        <w:pStyle w:val="Ruller3"/>
        <w:rPr>
          <w:rFonts w:cs="Miriam"/>
          <w:b/>
          <w:bCs/>
          <w:u w:val="single"/>
        </w:rPr>
      </w:pPr>
    </w:p>
    <w:tbl>
      <w:tblPr>
        <w:bidiVisual/>
        <w:tblW w:w="8360" w:type="dxa"/>
        <w:tblInd w:w="140" w:type="dxa"/>
        <w:tblLayout w:type="fixed"/>
        <w:tblLook w:val="04A0" w:firstRow="1" w:lastRow="0" w:firstColumn="1" w:lastColumn="0" w:noHBand="0" w:noVBand="1"/>
      </w:tblPr>
      <w:tblGrid>
        <w:gridCol w:w="3252"/>
        <w:gridCol w:w="5108"/>
      </w:tblGrid>
      <w:tr w:rsidR="003E42B3" w:rsidTr="00127B11">
        <w:trPr>
          <w:trHeight w:val="287"/>
        </w:trPr>
        <w:tc>
          <w:tcPr>
            <w:tcW w:w="3252" w:type="dxa"/>
            <w:hideMark/>
          </w:tcPr>
          <w:p w:rsidR="009E6C01" w:rsidRDefault="00C8369C" w:rsidP="00127B11">
            <w:pPr>
              <w:pStyle w:val="BodyRuller"/>
              <w:rPr>
                <w:rFonts w:ascii="David" w:hAnsi="David"/>
                <w:rtl/>
              </w:rPr>
            </w:pPr>
            <w:r>
              <w:rPr>
                <w:rFonts w:ascii="David" w:hAnsi="David"/>
                <w:rtl/>
              </w:rPr>
              <w:t>העותרים:</w:t>
            </w:r>
          </w:p>
        </w:tc>
        <w:tc>
          <w:tcPr>
            <w:tcW w:w="5108" w:type="dxa"/>
            <w:hideMark/>
          </w:tcPr>
          <w:p w:rsidR="009E6C01" w:rsidRDefault="00C8369C" w:rsidP="00127B11">
            <w:pPr>
              <w:pStyle w:val="BodyRuller"/>
            </w:pPr>
            <w:r>
              <w:rPr>
                <w:rtl/>
              </w:rPr>
              <w:t>1. הייתם אלואחד</w:t>
            </w:r>
          </w:p>
        </w:tc>
      </w:tr>
      <w:tr w:rsidR="003E42B3" w:rsidTr="00127B11">
        <w:trPr>
          <w:trHeight w:val="287"/>
        </w:trPr>
        <w:tc>
          <w:tcPr>
            <w:tcW w:w="3252" w:type="dxa"/>
          </w:tcPr>
          <w:p w:rsidR="009E6C01" w:rsidRDefault="009E6C01" w:rsidP="00127B11">
            <w:pPr>
              <w:pStyle w:val="BodyRuller"/>
              <w:rPr>
                <w:rFonts w:ascii="David" w:hAnsi="David"/>
              </w:rPr>
            </w:pPr>
          </w:p>
        </w:tc>
        <w:tc>
          <w:tcPr>
            <w:tcW w:w="5108" w:type="dxa"/>
            <w:hideMark/>
          </w:tcPr>
          <w:p w:rsidR="009E6C01" w:rsidRDefault="00C8369C" w:rsidP="00127B11">
            <w:pPr>
              <w:pStyle w:val="BodyRuller"/>
              <w:rPr>
                <w:rtl/>
              </w:rPr>
            </w:pPr>
            <w:r>
              <w:rPr>
                <w:rtl/>
              </w:rPr>
              <w:t>2. נידאל אלוחידי</w:t>
            </w:r>
          </w:p>
        </w:tc>
      </w:tr>
      <w:tr w:rsidR="003E42B3" w:rsidTr="00127B11">
        <w:trPr>
          <w:trHeight w:val="287"/>
        </w:trPr>
        <w:tc>
          <w:tcPr>
            <w:tcW w:w="3252" w:type="dxa"/>
          </w:tcPr>
          <w:p w:rsidR="009E6C01" w:rsidRDefault="009E6C01" w:rsidP="00127B11">
            <w:pPr>
              <w:pStyle w:val="BodyRuller"/>
              <w:rPr>
                <w:rFonts w:ascii="David" w:hAnsi="David"/>
                <w:rtl/>
              </w:rPr>
            </w:pPr>
          </w:p>
        </w:tc>
        <w:tc>
          <w:tcPr>
            <w:tcW w:w="5108" w:type="dxa"/>
            <w:hideMark/>
          </w:tcPr>
          <w:p w:rsidR="009E6C01" w:rsidRDefault="00C8369C" w:rsidP="00127B11">
            <w:pPr>
              <w:pStyle w:val="BodyRuller"/>
              <w:rPr>
                <w:rtl/>
              </w:rPr>
            </w:pPr>
            <w:r>
              <w:rPr>
                <w:rtl/>
              </w:rPr>
              <w:t>3. המוקד להגנת הפרט</w:t>
            </w:r>
          </w:p>
        </w:tc>
      </w:tr>
    </w:tbl>
    <w:p w:rsidR="009E6C01" w:rsidRDefault="009E6C01" w:rsidP="00127B11">
      <w:pPr>
        <w:pStyle w:val="Ruller3"/>
        <w:spacing w:line="240" w:lineRule="auto"/>
        <w:rPr>
          <w:rtl/>
        </w:rPr>
      </w:pPr>
    </w:p>
    <w:tbl>
      <w:tblPr>
        <w:bidiVisual/>
        <w:tblW w:w="8363" w:type="dxa"/>
        <w:tblLook w:val="04A0" w:firstRow="1" w:lastRow="0" w:firstColumn="1" w:lastColumn="0" w:noHBand="0" w:noVBand="1"/>
      </w:tblPr>
      <w:tblGrid>
        <w:gridCol w:w="3222"/>
        <w:gridCol w:w="5141"/>
      </w:tblGrid>
      <w:tr w:rsidR="003E42B3" w:rsidTr="009E6C01">
        <w:tc>
          <w:tcPr>
            <w:tcW w:w="3284" w:type="dxa"/>
          </w:tcPr>
          <w:p w:rsidR="009E6C01" w:rsidRDefault="009E6C01" w:rsidP="00127B11">
            <w:pPr>
              <w:pStyle w:val="BodyRuller"/>
            </w:pPr>
          </w:p>
        </w:tc>
        <w:tc>
          <w:tcPr>
            <w:tcW w:w="5238" w:type="dxa"/>
            <w:hideMark/>
          </w:tcPr>
          <w:p w:rsidR="009E6C01" w:rsidRDefault="00C8369C" w:rsidP="00127B11">
            <w:pPr>
              <w:pStyle w:val="BodyRuller"/>
            </w:pPr>
            <w:r>
              <w:rPr>
                <w:rtl/>
              </w:rPr>
              <w:t>נ</w:t>
            </w:r>
            <w:r>
              <w:t xml:space="preserve">  </w:t>
            </w:r>
            <w:r>
              <w:rPr>
                <w:rtl/>
              </w:rPr>
              <w:t>ג</w:t>
            </w:r>
            <w:r>
              <w:t xml:space="preserve">  </w:t>
            </w:r>
            <w:r>
              <w:rPr>
                <w:rtl/>
              </w:rPr>
              <w:t>ד</w:t>
            </w:r>
          </w:p>
        </w:tc>
      </w:tr>
    </w:tbl>
    <w:p w:rsidR="009E6C01" w:rsidRDefault="009E6C01" w:rsidP="00127B11">
      <w:pPr>
        <w:pStyle w:val="Ruller3"/>
        <w:spacing w:line="240" w:lineRule="auto"/>
      </w:pPr>
    </w:p>
    <w:tbl>
      <w:tblPr>
        <w:bidiVisual/>
        <w:tblW w:w="8360" w:type="dxa"/>
        <w:tblInd w:w="140" w:type="dxa"/>
        <w:tblLayout w:type="fixed"/>
        <w:tblLook w:val="04A0" w:firstRow="1" w:lastRow="0" w:firstColumn="1" w:lastColumn="0" w:noHBand="0" w:noVBand="1"/>
      </w:tblPr>
      <w:tblGrid>
        <w:gridCol w:w="3121"/>
        <w:gridCol w:w="5239"/>
      </w:tblGrid>
      <w:tr w:rsidR="003E42B3" w:rsidTr="00127B11">
        <w:trPr>
          <w:trHeight w:val="287"/>
        </w:trPr>
        <w:tc>
          <w:tcPr>
            <w:tcW w:w="3121" w:type="dxa"/>
            <w:hideMark/>
          </w:tcPr>
          <w:p w:rsidR="009E6C01" w:rsidRDefault="00C8369C" w:rsidP="00127B11">
            <w:pPr>
              <w:pStyle w:val="BodyRuller"/>
              <w:rPr>
                <w:rFonts w:ascii="David" w:hAnsi="David"/>
                <w:rtl/>
              </w:rPr>
            </w:pPr>
            <w:r>
              <w:rPr>
                <w:rFonts w:ascii="David" w:hAnsi="David"/>
                <w:rtl/>
              </w:rPr>
              <w:t>המשיבים:</w:t>
            </w:r>
          </w:p>
        </w:tc>
        <w:tc>
          <w:tcPr>
            <w:tcW w:w="5239" w:type="dxa"/>
            <w:hideMark/>
          </w:tcPr>
          <w:p w:rsidR="009E6C01" w:rsidRDefault="00C8369C" w:rsidP="00127B11">
            <w:pPr>
              <w:pStyle w:val="BodyRuller"/>
            </w:pPr>
            <w:r>
              <w:rPr>
                <w:rtl/>
              </w:rPr>
              <w:t>1. צבא הגנה לישראל</w:t>
            </w:r>
          </w:p>
        </w:tc>
      </w:tr>
      <w:tr w:rsidR="003E42B3" w:rsidTr="00127B11">
        <w:trPr>
          <w:trHeight w:val="287"/>
        </w:trPr>
        <w:tc>
          <w:tcPr>
            <w:tcW w:w="3121" w:type="dxa"/>
          </w:tcPr>
          <w:p w:rsidR="009E6C01" w:rsidRDefault="009E6C01" w:rsidP="00127B11">
            <w:pPr>
              <w:pStyle w:val="BodyRuller"/>
              <w:rPr>
                <w:rFonts w:ascii="David" w:hAnsi="David"/>
              </w:rPr>
            </w:pPr>
          </w:p>
        </w:tc>
        <w:tc>
          <w:tcPr>
            <w:tcW w:w="5239" w:type="dxa"/>
            <w:hideMark/>
          </w:tcPr>
          <w:p w:rsidR="009E6C01" w:rsidRDefault="00C8369C" w:rsidP="00127B11">
            <w:pPr>
              <w:pStyle w:val="BodyRuller"/>
              <w:rPr>
                <w:rtl/>
              </w:rPr>
            </w:pPr>
            <w:r>
              <w:rPr>
                <w:rtl/>
              </w:rPr>
              <w:t xml:space="preserve">2. קצין </w:t>
            </w:r>
            <w:r>
              <w:rPr>
                <w:rtl/>
              </w:rPr>
              <w:t>משטרה צבאית ראשי</w:t>
            </w:r>
          </w:p>
        </w:tc>
      </w:tr>
      <w:tr w:rsidR="003E42B3" w:rsidTr="00127B11">
        <w:trPr>
          <w:trHeight w:val="287"/>
        </w:trPr>
        <w:tc>
          <w:tcPr>
            <w:tcW w:w="3121" w:type="dxa"/>
          </w:tcPr>
          <w:p w:rsidR="009E6C01" w:rsidRDefault="009E6C01" w:rsidP="00127B11">
            <w:pPr>
              <w:pStyle w:val="BodyRuller"/>
              <w:rPr>
                <w:rFonts w:ascii="David" w:hAnsi="David"/>
                <w:rtl/>
              </w:rPr>
            </w:pPr>
          </w:p>
        </w:tc>
        <w:tc>
          <w:tcPr>
            <w:tcW w:w="5239" w:type="dxa"/>
            <w:hideMark/>
          </w:tcPr>
          <w:p w:rsidR="009E6C01" w:rsidRDefault="00C8369C" w:rsidP="00127B11">
            <w:pPr>
              <w:pStyle w:val="BodyRuller"/>
              <w:rPr>
                <w:rtl/>
              </w:rPr>
            </w:pPr>
            <w:r>
              <w:rPr>
                <w:rtl/>
              </w:rPr>
              <w:t>3. נציב</w:t>
            </w:r>
            <w:r>
              <w:rPr>
                <w:rFonts w:hint="cs"/>
                <w:rtl/>
              </w:rPr>
              <w:t xml:space="preserve">ת </w:t>
            </w:r>
            <w:r>
              <w:rPr>
                <w:rtl/>
              </w:rPr>
              <w:t>שירות בתי הסוהר</w:t>
            </w:r>
          </w:p>
        </w:tc>
      </w:tr>
      <w:tr w:rsidR="003E42B3" w:rsidTr="00127B11">
        <w:trPr>
          <w:trHeight w:val="287"/>
        </w:trPr>
        <w:tc>
          <w:tcPr>
            <w:tcW w:w="3121" w:type="dxa"/>
          </w:tcPr>
          <w:p w:rsidR="009E6C01" w:rsidRDefault="009E6C01" w:rsidP="00127B11">
            <w:pPr>
              <w:pStyle w:val="BodyRuller"/>
              <w:rPr>
                <w:rFonts w:ascii="David" w:hAnsi="David"/>
                <w:rtl/>
              </w:rPr>
            </w:pPr>
          </w:p>
        </w:tc>
        <w:tc>
          <w:tcPr>
            <w:tcW w:w="5239" w:type="dxa"/>
            <w:hideMark/>
          </w:tcPr>
          <w:p w:rsidR="009E6C01" w:rsidRDefault="00C8369C" w:rsidP="00127B11">
            <w:pPr>
              <w:pStyle w:val="BodyRuller"/>
              <w:rPr>
                <w:rtl/>
              </w:rPr>
            </w:pPr>
            <w:r>
              <w:rPr>
                <w:rtl/>
              </w:rPr>
              <w:t xml:space="preserve">4. המפקח הכללי </w:t>
            </w:r>
            <w:r w:rsidR="009A2648">
              <w:rPr>
                <w:rFonts w:hint="cs"/>
                <w:rtl/>
              </w:rPr>
              <w:t xml:space="preserve">של </w:t>
            </w:r>
            <w:r>
              <w:rPr>
                <w:rtl/>
              </w:rPr>
              <w:t>משטרת ישראל</w:t>
            </w:r>
          </w:p>
        </w:tc>
      </w:tr>
    </w:tbl>
    <w:p w:rsidR="009E6C01" w:rsidRDefault="009E6C01" w:rsidP="00127B11">
      <w:pPr>
        <w:pStyle w:val="Ruller3"/>
        <w:spacing w:line="240" w:lineRule="auto"/>
        <w:rPr>
          <w:rtl/>
        </w:rPr>
      </w:pPr>
    </w:p>
    <w:tbl>
      <w:tblPr>
        <w:bidiVisual/>
        <w:tblW w:w="0" w:type="auto"/>
        <w:tblInd w:w="3209" w:type="dxa"/>
        <w:tblLook w:val="04A0" w:firstRow="1" w:lastRow="0" w:firstColumn="1" w:lastColumn="0" w:noHBand="0" w:noVBand="1"/>
      </w:tblPr>
      <w:tblGrid>
        <w:gridCol w:w="5103"/>
      </w:tblGrid>
      <w:tr w:rsidR="003E42B3" w:rsidTr="009E6C01">
        <w:tc>
          <w:tcPr>
            <w:tcW w:w="5103" w:type="dxa"/>
            <w:hideMark/>
          </w:tcPr>
          <w:p w:rsidR="009E6C01" w:rsidRDefault="00C8369C" w:rsidP="00127B11">
            <w:pPr>
              <w:pStyle w:val="BodyRuller"/>
              <w:jc w:val="both"/>
              <w:rPr>
                <w:sz w:val="24"/>
                <w:szCs w:val="24"/>
              </w:rPr>
            </w:pPr>
            <w:r w:rsidRPr="009E6C01">
              <w:rPr>
                <w:rFonts w:hint="cs"/>
                <w:sz w:val="24"/>
                <w:szCs w:val="24"/>
                <w:rtl/>
              </w:rPr>
              <w:t xml:space="preserve">עתירה לצו </w:t>
            </w:r>
            <w:r>
              <w:rPr>
                <w:rFonts w:hint="cs"/>
                <w:sz w:val="24"/>
                <w:szCs w:val="24"/>
                <w:rtl/>
              </w:rPr>
              <w:t>הביאס קורפוס</w:t>
            </w:r>
          </w:p>
        </w:tc>
      </w:tr>
    </w:tbl>
    <w:p w:rsidR="009E6C01" w:rsidRDefault="009E6C01" w:rsidP="00127B11">
      <w:pPr>
        <w:pStyle w:val="Ruller3"/>
        <w:spacing w:line="240" w:lineRule="auto"/>
      </w:pPr>
    </w:p>
    <w:tbl>
      <w:tblPr>
        <w:bidiVisual/>
        <w:tblW w:w="8363" w:type="dxa"/>
        <w:tblLook w:val="04A0" w:firstRow="1" w:lastRow="0" w:firstColumn="1" w:lastColumn="0" w:noHBand="0" w:noVBand="1"/>
      </w:tblPr>
      <w:tblGrid>
        <w:gridCol w:w="3234"/>
        <w:gridCol w:w="5129"/>
      </w:tblGrid>
      <w:tr w:rsidR="003E42B3" w:rsidTr="009E6C01">
        <w:tc>
          <w:tcPr>
            <w:tcW w:w="3284" w:type="dxa"/>
            <w:hideMark/>
          </w:tcPr>
          <w:p w:rsidR="009E6C01" w:rsidRDefault="00C8369C" w:rsidP="00127B11">
            <w:pPr>
              <w:pStyle w:val="BodyRuller"/>
              <w:rPr>
                <w:rtl/>
              </w:rPr>
            </w:pPr>
            <w:r>
              <w:rPr>
                <w:rtl/>
              </w:rPr>
              <w:t>בשם העותרים:</w:t>
            </w:r>
          </w:p>
        </w:tc>
        <w:tc>
          <w:tcPr>
            <w:tcW w:w="5238" w:type="dxa"/>
            <w:hideMark/>
          </w:tcPr>
          <w:p w:rsidR="009E6C01" w:rsidRDefault="00C8369C" w:rsidP="00127B11">
            <w:pPr>
              <w:pStyle w:val="BodyRuller"/>
            </w:pPr>
            <w:r>
              <w:rPr>
                <w:rtl/>
              </w:rPr>
              <w:t>עו"ד נאדין אבו ערפה</w:t>
            </w:r>
          </w:p>
        </w:tc>
      </w:tr>
    </w:tbl>
    <w:p w:rsidR="009E6C01" w:rsidRDefault="009E6C01" w:rsidP="00127B11">
      <w:pPr>
        <w:pStyle w:val="Ruller3"/>
        <w:spacing w:line="240" w:lineRule="auto"/>
      </w:pPr>
    </w:p>
    <w:tbl>
      <w:tblPr>
        <w:bidiVisual/>
        <w:tblW w:w="8363" w:type="dxa"/>
        <w:tblLook w:val="04A0" w:firstRow="1" w:lastRow="0" w:firstColumn="1" w:lastColumn="0" w:noHBand="0" w:noVBand="1"/>
      </w:tblPr>
      <w:tblGrid>
        <w:gridCol w:w="3232"/>
        <w:gridCol w:w="5131"/>
      </w:tblGrid>
      <w:tr w:rsidR="003E42B3" w:rsidTr="009E6C01">
        <w:tc>
          <w:tcPr>
            <w:tcW w:w="3284" w:type="dxa"/>
            <w:hideMark/>
          </w:tcPr>
          <w:p w:rsidR="009E6C01" w:rsidRDefault="00C8369C" w:rsidP="00127B11">
            <w:pPr>
              <w:pStyle w:val="BodyRuller"/>
              <w:rPr>
                <w:rtl/>
              </w:rPr>
            </w:pPr>
            <w:r>
              <w:rPr>
                <w:rtl/>
              </w:rPr>
              <w:t>בשם המשיבים:</w:t>
            </w:r>
          </w:p>
        </w:tc>
        <w:tc>
          <w:tcPr>
            <w:tcW w:w="5238" w:type="dxa"/>
            <w:hideMark/>
          </w:tcPr>
          <w:p w:rsidR="009E6C01" w:rsidRDefault="00C8369C" w:rsidP="00127B11">
            <w:pPr>
              <w:pStyle w:val="BodyRuller"/>
            </w:pPr>
            <w:r>
              <w:rPr>
                <w:rtl/>
              </w:rPr>
              <w:t>עו"ד מתן שטיינבוך</w:t>
            </w:r>
          </w:p>
        </w:tc>
      </w:tr>
    </w:tbl>
    <w:p w:rsidR="00916FF8" w:rsidRDefault="00916FF8" w:rsidP="009E6C01">
      <w:pPr>
        <w:tabs>
          <w:tab w:val="left" w:pos="2552"/>
        </w:tabs>
        <w:spacing w:line="480" w:lineRule="auto"/>
      </w:pPr>
    </w:p>
    <w:tbl>
      <w:tblPr>
        <w:bidiVisual/>
        <w:tblW w:w="8363" w:type="dxa"/>
        <w:tblLook w:val="0000" w:firstRow="0" w:lastRow="0" w:firstColumn="0" w:lastColumn="0" w:noHBand="0" w:noVBand="0"/>
      </w:tblPr>
      <w:tblGrid>
        <w:gridCol w:w="8363"/>
      </w:tblGrid>
      <w:tr w:rsidR="003E42B3" w:rsidTr="00D00B1D">
        <w:tc>
          <w:tcPr>
            <w:tcW w:w="9837" w:type="dxa"/>
          </w:tcPr>
          <w:p w:rsidR="00916FF8" w:rsidRDefault="00C8369C">
            <w:pPr>
              <w:pStyle w:val="DocumentHead"/>
            </w:pPr>
            <w:bookmarkStart w:id="2" w:name="secretary"/>
            <w:bookmarkStart w:id="3" w:name="BeginProtocol"/>
            <w:bookmarkEnd w:id="2"/>
            <w:bookmarkEnd w:id="3"/>
            <w:r>
              <w:rPr>
                <w:rtl/>
              </w:rPr>
              <w:t>פסק-דין</w:t>
            </w:r>
          </w:p>
        </w:tc>
      </w:tr>
    </w:tbl>
    <w:p w:rsidR="0065522F" w:rsidRDefault="0065522F">
      <w:pPr>
        <w:pStyle w:val="BODYVERDICT"/>
      </w:pPr>
    </w:p>
    <w:p w:rsidR="00916FF8" w:rsidRPr="00503A3E" w:rsidRDefault="00C8369C">
      <w:pPr>
        <w:pStyle w:val="BODYVERDICT"/>
        <w:rPr>
          <w:rFonts w:cs="Miriam"/>
          <w:sz w:val="24"/>
          <w:szCs w:val="24"/>
          <w:u w:val="single"/>
          <w:rtl/>
        </w:rPr>
      </w:pPr>
      <w:bookmarkStart w:id="4" w:name="Writer_Name"/>
      <w:bookmarkEnd w:id="4"/>
      <w:r>
        <w:rPr>
          <w:rFonts w:cs="Miriam"/>
          <w:sz w:val="24"/>
          <w:szCs w:val="24"/>
          <w:u w:val="single"/>
          <w:rtl/>
        </w:rPr>
        <w:t>השופט נ' סולברג</w:t>
      </w:r>
      <w:r w:rsidRPr="008926EC">
        <w:rPr>
          <w:rFonts w:cs="Miriam"/>
          <w:sz w:val="24"/>
          <w:szCs w:val="24"/>
          <w:rtl/>
        </w:rPr>
        <w:t>:</w:t>
      </w:r>
    </w:p>
    <w:p w:rsidR="000B1478" w:rsidRDefault="000B1478" w:rsidP="00A51FAE">
      <w:pPr>
        <w:pStyle w:val="Ruller40"/>
        <w:rPr>
          <w:rtl/>
        </w:rPr>
      </w:pPr>
      <w:bookmarkStart w:id="5" w:name="Start_Write"/>
      <w:bookmarkEnd w:id="5"/>
    </w:p>
    <w:p w:rsidR="00E228DD" w:rsidRDefault="00C8369C" w:rsidP="00022D51">
      <w:pPr>
        <w:pStyle w:val="Ruller4"/>
        <w:rPr>
          <w:rtl/>
        </w:rPr>
      </w:pPr>
      <w:r>
        <w:rPr>
          <w:rFonts w:hint="cs"/>
          <w:rtl/>
        </w:rPr>
        <w:t>עניינה של העתירה, בבקשת העותר 3, המוקד להגנת הפרט, להורות</w:t>
      </w:r>
      <w:r>
        <w:rPr>
          <w:rFonts w:hint="cs"/>
          <w:rtl/>
        </w:rPr>
        <w:t xml:space="preserve"> למשיבים למסור מידע ביחס למקום הימצאם, ולזהו</w:t>
      </w:r>
      <w:r w:rsidR="00022D51">
        <w:rPr>
          <w:rFonts w:hint="cs"/>
          <w:rtl/>
        </w:rPr>
        <w:t>ּ</w:t>
      </w:r>
      <w:r>
        <w:rPr>
          <w:rFonts w:hint="cs"/>
          <w:rtl/>
        </w:rPr>
        <w:t xml:space="preserve">ת הגורם המחזיק בעותרים 2-1 (להלן: </w:t>
      </w:r>
      <w:r w:rsidRPr="00E228DD">
        <w:rPr>
          <w:rFonts w:ascii="Century" w:hAnsi="Century" w:cs="Miriam" w:hint="eastAsia"/>
          <w:b/>
          <w:spacing w:val="0"/>
          <w:sz w:val="22"/>
          <w:szCs w:val="24"/>
          <w:rtl/>
        </w:rPr>
        <w:t>העותרים</w:t>
      </w:r>
      <w:r>
        <w:rPr>
          <w:rFonts w:ascii="Century" w:hAnsi="Century" w:hint="cs"/>
          <w:sz w:val="22"/>
          <w:rtl/>
        </w:rPr>
        <w:t>),</w:t>
      </w:r>
      <w:r>
        <w:rPr>
          <w:rFonts w:hint="cs"/>
          <w:rtl/>
        </w:rPr>
        <w:t xml:space="preserve"> תושבי ר</w:t>
      </w:r>
      <w:r w:rsidR="003565E0">
        <w:rPr>
          <w:rFonts w:hint="cs"/>
          <w:rtl/>
        </w:rPr>
        <w:t>צועת עזה אשר נעצרו, כך נטען, על-</w:t>
      </w:r>
      <w:r>
        <w:rPr>
          <w:rFonts w:hint="cs"/>
          <w:rtl/>
        </w:rPr>
        <w:t xml:space="preserve">ידי כוחות הביטחון ביום 7.10.2023, באזור מחסום ארז. השניים, לפי הנטען, </w:t>
      </w:r>
      <w:r w:rsidRPr="00E228DD">
        <w:rPr>
          <w:rFonts w:ascii="Century" w:hAnsi="Century" w:cs="Miriam" w:hint="cs"/>
          <w:b/>
          <w:spacing w:val="0"/>
          <w:sz w:val="22"/>
          <w:szCs w:val="24"/>
          <w:rtl/>
        </w:rPr>
        <w:t xml:space="preserve">"עיתונאים, שיצאו לאזור מחסום ארז ביום 7.10.2023 על מנת לתעד את המתרחש בזמן המלחמה. בעת מילוי תפקידם, העותרים נעצרו </w:t>
      </w:r>
      <w:r w:rsidR="005B1E1A">
        <w:rPr>
          <w:rFonts w:ascii="Century" w:hAnsi="Century" w:cs="Miriam" w:hint="cs"/>
          <w:b/>
          <w:spacing w:val="0"/>
          <w:sz w:val="22"/>
          <w:szCs w:val="24"/>
          <w:rtl/>
        </w:rPr>
        <w:t>על-ידי</w:t>
      </w:r>
      <w:r w:rsidRPr="00E228DD">
        <w:rPr>
          <w:rFonts w:ascii="Century" w:hAnsi="Century" w:cs="Miriam" w:hint="cs"/>
          <w:b/>
          <w:spacing w:val="0"/>
          <w:sz w:val="22"/>
          <w:szCs w:val="24"/>
          <w:rtl/>
        </w:rPr>
        <w:t xml:space="preserve"> כוחות הביטחון של ישראל ומעצרם תועד על-ידי משפחותיהם בסרטונים שפורסמו בתקשורת</w:t>
      </w:r>
      <w:r>
        <w:rPr>
          <w:rFonts w:hint="cs"/>
          <w:rtl/>
        </w:rPr>
        <w:t>". עוד מבוקש,</w:t>
      </w:r>
      <w:r w:rsidR="003565E0">
        <w:rPr>
          <w:rFonts w:hint="cs"/>
          <w:rtl/>
        </w:rPr>
        <w:t xml:space="preserve"> ככל שהעותרים 2-1 אכן עצורים </w:t>
      </w:r>
      <w:r w:rsidR="00FC0B26">
        <w:rPr>
          <w:rFonts w:hint="cs"/>
          <w:rtl/>
        </w:rPr>
        <w:t xml:space="preserve">אצל </w:t>
      </w:r>
      <w:r>
        <w:rPr>
          <w:rFonts w:hint="cs"/>
          <w:rtl/>
        </w:rPr>
        <w:t>כוחות הביטחו</w:t>
      </w:r>
      <w:r>
        <w:rPr>
          <w:rFonts w:hint="cs"/>
          <w:rtl/>
        </w:rPr>
        <w:t xml:space="preserve">ן בישראל שלא כדין, להורות </w:t>
      </w:r>
      <w:r w:rsidR="00022D51">
        <w:rPr>
          <w:rFonts w:hint="cs"/>
          <w:rtl/>
        </w:rPr>
        <w:t>ע</w:t>
      </w:r>
      <w:r>
        <w:rPr>
          <w:rFonts w:hint="cs"/>
          <w:rtl/>
        </w:rPr>
        <w:t>ל</w:t>
      </w:r>
      <w:r w:rsidR="00022D51">
        <w:rPr>
          <w:rFonts w:hint="cs"/>
          <w:rtl/>
        </w:rPr>
        <w:t xml:space="preserve"> </w:t>
      </w:r>
      <w:r>
        <w:rPr>
          <w:rFonts w:hint="cs"/>
          <w:rtl/>
        </w:rPr>
        <w:t>שחר</w:t>
      </w:r>
      <w:r w:rsidR="00022D51">
        <w:rPr>
          <w:rFonts w:hint="cs"/>
          <w:rtl/>
        </w:rPr>
        <w:t>ו</w:t>
      </w:r>
      <w:r>
        <w:rPr>
          <w:rFonts w:hint="cs"/>
          <w:rtl/>
        </w:rPr>
        <w:t xml:space="preserve">רם. בנוסף, מבקש המוקד </w:t>
      </w:r>
      <w:r w:rsidR="00FC0B26">
        <w:rPr>
          <w:rFonts w:hint="cs"/>
          <w:rtl/>
        </w:rPr>
        <w:t xml:space="preserve">להגנת הפרט </w:t>
      </w:r>
      <w:r>
        <w:rPr>
          <w:rFonts w:hint="cs"/>
          <w:rtl/>
        </w:rPr>
        <w:t xml:space="preserve">להורות למשיב 2 להחזיק בידיו </w:t>
      </w:r>
      <w:r w:rsidRPr="00B2626F">
        <w:rPr>
          <w:rFonts w:ascii="Century" w:hAnsi="Century" w:cs="Miriam" w:hint="cs"/>
          <w:b/>
          <w:spacing w:val="0"/>
          <w:sz w:val="22"/>
          <w:szCs w:val="24"/>
          <w:rtl/>
        </w:rPr>
        <w:t>"מידע עדכני בדבר מעצרו ומקום מעצרו של כל עצור, תושב רצועת עזה שנעצר במהלך המלחמה"</w:t>
      </w:r>
      <w:r w:rsidR="003909EE">
        <w:rPr>
          <w:rFonts w:hint="cs"/>
          <w:rtl/>
        </w:rPr>
        <w:t>; ולח</w:t>
      </w:r>
      <w:r>
        <w:rPr>
          <w:rFonts w:hint="cs"/>
          <w:rtl/>
        </w:rPr>
        <w:t xml:space="preserve">לופין, למסור מידע </w:t>
      </w:r>
      <w:r w:rsidR="006A2E5D">
        <w:rPr>
          <w:rFonts w:hint="cs"/>
          <w:rtl/>
        </w:rPr>
        <w:t xml:space="preserve">על </w:t>
      </w:r>
      <w:r>
        <w:rPr>
          <w:rFonts w:hint="cs"/>
          <w:rtl/>
        </w:rPr>
        <w:t xml:space="preserve">אודות הגורם האוחז במידע </w:t>
      </w:r>
      <w:r>
        <w:rPr>
          <w:rFonts w:hint="cs"/>
          <w:rtl/>
        </w:rPr>
        <w:lastRenderedPageBreak/>
        <w:t>האמור; במישור הפרטני, ככל שהעות</w:t>
      </w:r>
      <w:r>
        <w:rPr>
          <w:rFonts w:hint="cs"/>
          <w:rtl/>
        </w:rPr>
        <w:t>רים 2-1 אכן עצורים בישראל, מבוקש לרשום את מקום מעצרם.</w:t>
      </w:r>
    </w:p>
    <w:p w:rsidR="00E228DD" w:rsidRDefault="00E228DD" w:rsidP="006330C5">
      <w:pPr>
        <w:pStyle w:val="Ruller40"/>
        <w:spacing w:line="240" w:lineRule="auto"/>
        <w:rPr>
          <w:rtl/>
        </w:rPr>
      </w:pPr>
    </w:p>
    <w:p w:rsidR="00E228DD" w:rsidRPr="005D48B6" w:rsidRDefault="00C8369C" w:rsidP="00022D51">
      <w:pPr>
        <w:pStyle w:val="Ruller4"/>
        <w:rPr>
          <w:rtl/>
        </w:rPr>
      </w:pPr>
      <w:r>
        <w:rPr>
          <w:rFonts w:hint="cs"/>
          <w:rtl/>
        </w:rPr>
        <w:t xml:space="preserve">לביסוס חובת המשיבים למסור את פרטי החזקתם של העותרים 2-1, מפנה המוקד להגנת הפרט לסעיף 53(א) לצו בדבר הוראות ביטחון [נוסח משולב] (אזור יהודה ושומרון) (מס' 1651), התש"ע-2009 (להלן: </w:t>
      </w:r>
      <w:r w:rsidRPr="004018A3">
        <w:rPr>
          <w:rFonts w:ascii="Century" w:hAnsi="Century" w:cs="Miriam" w:hint="cs"/>
          <w:b/>
          <w:spacing w:val="0"/>
          <w:sz w:val="22"/>
          <w:szCs w:val="24"/>
          <w:rtl/>
        </w:rPr>
        <w:t>הצו</w:t>
      </w:r>
      <w:r>
        <w:rPr>
          <w:rFonts w:ascii="Century" w:hAnsi="Century" w:cs="Miriam" w:hint="cs"/>
          <w:b/>
          <w:spacing w:val="0"/>
          <w:sz w:val="22"/>
          <w:szCs w:val="24"/>
          <w:rtl/>
        </w:rPr>
        <w:t xml:space="preserve"> בדבר הוראות ביטחון</w:t>
      </w:r>
      <w:r>
        <w:rPr>
          <w:rFonts w:hint="cs"/>
          <w:rtl/>
        </w:rPr>
        <w:t xml:space="preserve"> או </w:t>
      </w:r>
      <w:r w:rsidRPr="005D48B6">
        <w:rPr>
          <w:rFonts w:ascii="Century" w:hAnsi="Century" w:cs="Miriam" w:hint="cs"/>
          <w:b/>
          <w:spacing w:val="0"/>
          <w:sz w:val="22"/>
          <w:szCs w:val="24"/>
          <w:rtl/>
        </w:rPr>
        <w:t>הצו</w:t>
      </w:r>
      <w:r>
        <w:rPr>
          <w:rFonts w:hint="cs"/>
          <w:rtl/>
        </w:rPr>
        <w:t xml:space="preserve">), שעניינו במסירת מידע לקרוביו של עצור, על </w:t>
      </w:r>
      <w:r w:rsidR="00022D51">
        <w:rPr>
          <w:rFonts w:hint="cs"/>
          <w:rtl/>
        </w:rPr>
        <w:t>דבר מעצרו ומקום הימצאו.</w:t>
      </w:r>
      <w:r>
        <w:rPr>
          <w:rFonts w:hint="cs"/>
          <w:rtl/>
        </w:rPr>
        <w:t xml:space="preserve"> זו לשונו: </w:t>
      </w:r>
      <w:r w:rsidRPr="005D48B6">
        <w:rPr>
          <w:rFonts w:ascii="Century" w:hAnsi="Century" w:cs="Miriam" w:hint="cs"/>
          <w:b/>
          <w:spacing w:val="0"/>
          <w:sz w:val="22"/>
          <w:szCs w:val="24"/>
          <w:rtl/>
        </w:rPr>
        <w:t>"נעצר אדם, תימסר ללא שיהוי ידיעה על מעצרו ומקום הימצאו לאדם הקרוב אליו, זולת אם ביקש העצור שלא להודיע כאמור"</w:t>
      </w:r>
      <w:r>
        <w:rPr>
          <w:rFonts w:hint="cs"/>
          <w:rtl/>
        </w:rPr>
        <w:t xml:space="preserve">. בנוסף, מפנה המוקד </w:t>
      </w:r>
      <w:r w:rsidR="00FC0B26">
        <w:rPr>
          <w:rFonts w:hint="cs"/>
          <w:rtl/>
        </w:rPr>
        <w:t xml:space="preserve">להגנת הפרט </w:t>
      </w:r>
      <w:r>
        <w:rPr>
          <w:rFonts w:hint="cs"/>
          <w:rtl/>
        </w:rPr>
        <w:t>לפסקי דין שיצאו תחת ידו של בית מש</w:t>
      </w:r>
      <w:r>
        <w:rPr>
          <w:rFonts w:hint="cs"/>
          <w:rtl/>
        </w:rPr>
        <w:t xml:space="preserve">פט זה, </w:t>
      </w:r>
      <w:r w:rsidR="00FC0B26">
        <w:rPr>
          <w:rFonts w:hint="cs"/>
          <w:rtl/>
        </w:rPr>
        <w:t xml:space="preserve">ולשיטתו של המוקד </w:t>
      </w:r>
      <w:r>
        <w:rPr>
          <w:rFonts w:hint="cs"/>
          <w:rtl/>
        </w:rPr>
        <w:t xml:space="preserve">הטילו חובה על המשיבים ליידע את משפחות העצורים, על אודות מקום הימצאם. </w:t>
      </w:r>
    </w:p>
    <w:p w:rsidR="00E228DD" w:rsidRPr="00B2626F" w:rsidRDefault="00E228DD" w:rsidP="006330C5">
      <w:pPr>
        <w:pStyle w:val="Ruller40"/>
        <w:spacing w:line="240" w:lineRule="auto"/>
      </w:pPr>
    </w:p>
    <w:p w:rsidR="00E228DD" w:rsidRDefault="00C8369C" w:rsidP="00FC0B26">
      <w:pPr>
        <w:pStyle w:val="Ruller4"/>
      </w:pPr>
      <w:r>
        <w:rPr>
          <w:rFonts w:hint="cs"/>
          <w:rtl/>
        </w:rPr>
        <w:t xml:space="preserve">בהחלטה מיום 11.10.2023 ביקשתי מאת המשיבים להגיש את תגובתם לעתירה. בתגובתם, מבקשים המשיבים לדחות את העתירה על הסף, תוך שהם מפנים לעמדתם העקרונית שהוגשה בבג"ץ 5243/14 </w:t>
      </w:r>
      <w:r w:rsidRPr="00563F0E">
        <w:rPr>
          <w:rFonts w:ascii="Century" w:hAnsi="Century" w:cs="Miriam" w:hint="cs"/>
          <w:b/>
          <w:spacing w:val="0"/>
          <w:sz w:val="22"/>
          <w:szCs w:val="24"/>
          <w:rtl/>
        </w:rPr>
        <w:t>המוקד להגנת הפרט נ' צבא ההגנה לישראל</w:t>
      </w:r>
      <w:r w:rsidR="00FC0B26">
        <w:rPr>
          <w:rFonts w:hint="cs"/>
          <w:rtl/>
        </w:rPr>
        <w:t xml:space="preserve"> (4.8.2014).</w:t>
      </w:r>
      <w:r>
        <w:rPr>
          <w:rFonts w:hint="cs"/>
          <w:rtl/>
        </w:rPr>
        <w:t xml:space="preserve"> </w:t>
      </w:r>
    </w:p>
    <w:p w:rsidR="00E228DD" w:rsidRDefault="00E228DD" w:rsidP="006330C5">
      <w:pPr>
        <w:pStyle w:val="Ruller4"/>
        <w:numPr>
          <w:ilvl w:val="0"/>
          <w:numId w:val="0"/>
        </w:numPr>
        <w:spacing w:line="240" w:lineRule="auto"/>
      </w:pPr>
    </w:p>
    <w:p w:rsidR="00E228DD" w:rsidRDefault="00C8369C" w:rsidP="00FC0B26">
      <w:pPr>
        <w:pStyle w:val="Ruller4"/>
        <w:rPr>
          <w:rtl/>
        </w:rPr>
      </w:pPr>
      <w:r>
        <w:rPr>
          <w:rFonts w:hint="cs"/>
          <w:rtl/>
        </w:rPr>
        <w:t xml:space="preserve">באותה פרשה, נדונה בקשת המוקד להגנת הפרט </w:t>
      </w:r>
      <w:r w:rsidR="00FC0B26">
        <w:rPr>
          <w:rFonts w:hint="cs"/>
          <w:rtl/>
        </w:rPr>
        <w:t>(</w:t>
      </w:r>
      <w:r>
        <w:rPr>
          <w:rFonts w:hint="cs"/>
          <w:rtl/>
        </w:rPr>
        <w:t>העותר 3 בהליך דנן</w:t>
      </w:r>
      <w:r w:rsidR="00FC0B26">
        <w:rPr>
          <w:rFonts w:hint="cs"/>
          <w:rtl/>
        </w:rPr>
        <w:t>)</w:t>
      </w:r>
      <w:r>
        <w:rPr>
          <w:rFonts w:hint="cs"/>
          <w:rtl/>
        </w:rPr>
        <w:t>, לקבלת פרטיהם ומקום החזקתם של פלסטינים תושבי רצועת עזה, אשר נעצרו על</w:t>
      </w:r>
      <w:r w:rsidR="00897604">
        <w:rPr>
          <w:rFonts w:hint="cs"/>
          <w:rtl/>
        </w:rPr>
        <w:t>-</w:t>
      </w:r>
      <w:r>
        <w:rPr>
          <w:rFonts w:hint="cs"/>
          <w:rtl/>
        </w:rPr>
        <w:t>ידי כוחות הביטחון</w:t>
      </w:r>
      <w:r w:rsidR="00A55971">
        <w:rPr>
          <w:rFonts w:hint="cs"/>
          <w:rtl/>
        </w:rPr>
        <w:t xml:space="preserve"> במהלך</w:t>
      </w:r>
      <w:r>
        <w:rPr>
          <w:rFonts w:hint="cs"/>
          <w:rtl/>
        </w:rPr>
        <w:t xml:space="preserve"> הלחימה במבצע 'צוק איתן'. בתגובת המדינה בעניין </w:t>
      </w:r>
      <w:r w:rsidRPr="00B2626F">
        <w:rPr>
          <w:rFonts w:ascii="Century" w:hAnsi="Century" w:cs="Miriam" w:hint="cs"/>
          <w:b/>
          <w:spacing w:val="0"/>
          <w:sz w:val="22"/>
          <w:szCs w:val="24"/>
          <w:rtl/>
        </w:rPr>
        <w:t>המוקד להגנת הפרט</w:t>
      </w:r>
      <w:r w:rsidR="00FC0B26">
        <w:rPr>
          <w:rFonts w:ascii="Century" w:hAnsi="Century" w:cs="Miriam" w:hint="cs"/>
          <w:b/>
          <w:spacing w:val="0"/>
          <w:sz w:val="22"/>
          <w:szCs w:val="24"/>
          <w:rtl/>
        </w:rPr>
        <w:t xml:space="preserve"> </w:t>
      </w:r>
      <w:r w:rsidR="00FC0B26" w:rsidRPr="00FC0B26">
        <w:rPr>
          <w:rFonts w:ascii="Century" w:hAnsi="Century" w:hint="cs"/>
          <w:sz w:val="22"/>
          <w:rtl/>
        </w:rPr>
        <w:t>הנ"ל</w:t>
      </w:r>
      <w:r w:rsidR="00FC0B26" w:rsidRPr="00FC0B26">
        <w:rPr>
          <w:rFonts w:ascii="Century" w:hAnsi="Century" w:cs="Miriam" w:hint="cs"/>
          <w:b/>
          <w:spacing w:val="0"/>
          <w:sz w:val="22"/>
          <w:szCs w:val="24"/>
          <w:rtl/>
        </w:rPr>
        <w:t xml:space="preserve"> </w:t>
      </w:r>
      <w:r w:rsidR="00FC0B26" w:rsidRPr="00FC0B26">
        <w:rPr>
          <w:rFonts w:ascii="Century" w:hAnsi="Century" w:hint="cs"/>
          <w:sz w:val="22"/>
          <w:rtl/>
        </w:rPr>
        <w:t>(בשנת 2014)</w:t>
      </w:r>
      <w:r w:rsidRPr="00FC0B26">
        <w:rPr>
          <w:rFonts w:ascii="Century" w:hAnsi="Century" w:hint="cs"/>
          <w:sz w:val="22"/>
          <w:rtl/>
        </w:rPr>
        <w:t>,</w:t>
      </w:r>
      <w:r w:rsidRPr="00FC0B26">
        <w:rPr>
          <w:rFonts w:hint="cs"/>
          <w:rtl/>
        </w:rPr>
        <w:t xml:space="preserve"> </w:t>
      </w:r>
      <w:r>
        <w:rPr>
          <w:rFonts w:hint="cs"/>
          <w:rtl/>
        </w:rPr>
        <w:t xml:space="preserve">נטען כי </w:t>
      </w:r>
      <w:r w:rsidRPr="00B2626F">
        <w:rPr>
          <w:rFonts w:ascii="Century" w:hAnsi="Century" w:cs="Miriam" w:hint="cs"/>
          <w:b/>
          <w:spacing w:val="0"/>
          <w:sz w:val="22"/>
          <w:szCs w:val="24"/>
          <w:rtl/>
        </w:rPr>
        <w:t xml:space="preserve">"לא מוטלת על הצבא כל חובה כלפי העותר, למסור לו פרט </w:t>
      </w:r>
      <w:r w:rsidRPr="00B2626F">
        <w:rPr>
          <w:rFonts w:ascii="Century" w:hAnsi="Century" w:cs="Miriam" w:hint="cs"/>
          <w:b/>
          <w:spacing w:val="0"/>
          <w:sz w:val="22"/>
          <w:szCs w:val="24"/>
          <w:rtl/>
        </w:rPr>
        <w:t>מידע כלשהו ביחס לתושבי עזה שנעצרים במסגרת הפעילות הקרקעית של כוחות צה"ל במבצע 'צוק איתן' ומוחזקים במתקני מעצר שבאחריותו"</w:t>
      </w:r>
      <w:r>
        <w:rPr>
          <w:rFonts w:hint="cs"/>
          <w:rtl/>
        </w:rPr>
        <w:t xml:space="preserve">. עוד טענה המדינה באותה תגובה, כי אין מקום להקיש מההסדרים הנוגעים למעצר בישראל או באזור יהודה ושומרון, למצב הלחימה בעזה, בשים לב למעמדם </w:t>
      </w:r>
      <w:r>
        <w:rPr>
          <w:rFonts w:hint="cs"/>
          <w:rtl/>
        </w:rPr>
        <w:t>המשפטי השונה של אזורים אלו, ולעובדה שרצועת עזה היא כיום שטח עו</w:t>
      </w:r>
      <w:r w:rsidR="007A5986">
        <w:rPr>
          <w:rFonts w:hint="cs"/>
          <w:rtl/>
        </w:rPr>
        <w:t>י</w:t>
      </w:r>
      <w:r>
        <w:rPr>
          <w:rFonts w:hint="cs"/>
          <w:rtl/>
        </w:rPr>
        <w:t xml:space="preserve">ין, המצוי בשליטת ארגון טרור, שאינו נתון לשליטתה האפקטיבית של ישראל, ושדיני התפיסה הלוחמתית אינם חלים בו. עתירה זו נמחקה </w:t>
      </w:r>
      <w:r w:rsidR="00A55971">
        <w:rPr>
          <w:rFonts w:hint="cs"/>
          <w:rtl/>
        </w:rPr>
        <w:t xml:space="preserve">בשעתו </w:t>
      </w:r>
      <w:r>
        <w:rPr>
          <w:rFonts w:hint="cs"/>
          <w:rtl/>
        </w:rPr>
        <w:t xml:space="preserve">בהסכמת העותר ובהמלצת בית המשפט, </w:t>
      </w:r>
      <w:r w:rsidRPr="00B2626F">
        <w:rPr>
          <w:rFonts w:ascii="Century" w:hAnsi="Century" w:cs="Miriam" w:hint="cs"/>
          <w:b/>
          <w:spacing w:val="0"/>
          <w:sz w:val="22"/>
          <w:szCs w:val="24"/>
          <w:rtl/>
        </w:rPr>
        <w:t>"בעקבות האמור בתגובה של המשיב, ונוכ</w:t>
      </w:r>
      <w:r w:rsidRPr="00B2626F">
        <w:rPr>
          <w:rFonts w:ascii="Century" w:hAnsi="Century" w:cs="Miriam" w:hint="cs"/>
          <w:b/>
          <w:spacing w:val="0"/>
          <w:sz w:val="22"/>
          <w:szCs w:val="24"/>
          <w:rtl/>
        </w:rPr>
        <w:t>ח הדברים שהש</w:t>
      </w:r>
      <w:r>
        <w:rPr>
          <w:rFonts w:ascii="Century" w:hAnsi="Century" w:cs="Miriam" w:hint="cs"/>
          <w:b/>
          <w:spacing w:val="0"/>
          <w:sz w:val="22"/>
          <w:szCs w:val="24"/>
          <w:rtl/>
        </w:rPr>
        <w:t>מיע ב</w:t>
      </w:r>
      <w:r w:rsidRPr="00B2626F">
        <w:rPr>
          <w:rFonts w:ascii="Century" w:hAnsi="Century" w:cs="Miriam" w:hint="cs"/>
          <w:b/>
          <w:spacing w:val="0"/>
          <w:sz w:val="22"/>
          <w:szCs w:val="24"/>
          <w:rtl/>
        </w:rPr>
        <w:t>פנינו בא כוחו של המשיב"</w:t>
      </w:r>
      <w:r w:rsidR="00A55971">
        <w:rPr>
          <w:rFonts w:hint="cs"/>
          <w:rtl/>
        </w:rPr>
        <w:t>. בהליך של</w:t>
      </w:r>
      <w:r>
        <w:rPr>
          <w:rFonts w:hint="cs"/>
          <w:rtl/>
        </w:rPr>
        <w:t>פנינו, שבים המשיבים על עמדתם זו.</w:t>
      </w:r>
    </w:p>
    <w:p w:rsidR="00E228DD" w:rsidRDefault="00E228DD" w:rsidP="006330C5">
      <w:pPr>
        <w:pStyle w:val="Ruller4"/>
        <w:numPr>
          <w:ilvl w:val="0"/>
          <w:numId w:val="0"/>
        </w:numPr>
        <w:spacing w:line="240" w:lineRule="auto"/>
      </w:pPr>
    </w:p>
    <w:p w:rsidR="00E228DD" w:rsidRDefault="00C8369C" w:rsidP="00022D51">
      <w:pPr>
        <w:pStyle w:val="Ruller4"/>
      </w:pPr>
      <w:r>
        <w:rPr>
          <w:rFonts w:hint="cs"/>
          <w:rtl/>
        </w:rPr>
        <w:t xml:space="preserve">בנוסף, מפנים המשיבים לתשובת הפרקליטות שניתנה בשעתו למוקד </w:t>
      </w:r>
      <w:r>
        <w:rPr>
          <w:rtl/>
        </w:rPr>
        <w:t>–</w:t>
      </w:r>
      <w:r>
        <w:rPr>
          <w:rFonts w:hint="cs"/>
          <w:rtl/>
        </w:rPr>
        <w:t xml:space="preserve"> עוד בטרם הגשת העתירה </w:t>
      </w:r>
      <w:r w:rsidR="00A55971">
        <w:rPr>
          <w:rFonts w:hint="cs"/>
          <w:rtl/>
        </w:rPr>
        <w:t xml:space="preserve">(בשנת 2014) </w:t>
      </w:r>
      <w:r>
        <w:rPr>
          <w:rFonts w:hint="cs"/>
          <w:rtl/>
        </w:rPr>
        <w:t xml:space="preserve">בעניין </w:t>
      </w:r>
      <w:r w:rsidRPr="00B2626F">
        <w:rPr>
          <w:rFonts w:ascii="Century" w:hAnsi="Century" w:cs="Miriam" w:hint="cs"/>
          <w:b/>
          <w:spacing w:val="0"/>
          <w:sz w:val="22"/>
          <w:szCs w:val="24"/>
          <w:rtl/>
        </w:rPr>
        <w:t>המוקד להגנת הפרט</w:t>
      </w:r>
      <w:r>
        <w:rPr>
          <w:rFonts w:hint="cs"/>
          <w:rtl/>
        </w:rPr>
        <w:t xml:space="preserve"> </w:t>
      </w:r>
      <w:r>
        <w:rPr>
          <w:rtl/>
        </w:rPr>
        <w:t>–</w:t>
      </w:r>
      <w:r w:rsidR="00022D51">
        <w:rPr>
          <w:rFonts w:hint="cs"/>
          <w:rtl/>
        </w:rPr>
        <w:t xml:space="preserve"> ולפיה אי</w:t>
      </w:r>
      <w:r>
        <w:rPr>
          <w:rFonts w:hint="cs"/>
          <w:rtl/>
        </w:rPr>
        <w:t>פשרה המדינה, באותן נסיבות ולפנים משורת הדין, ל</w:t>
      </w:r>
      <w:r>
        <w:rPr>
          <w:rFonts w:hint="cs"/>
          <w:rtl/>
        </w:rPr>
        <w:t>פנות באופן פרטני בלבד, למשל"ט (מוצב שליטה) הכליאה, הפועל מ</w:t>
      </w:r>
      <w:r w:rsidR="00022D51">
        <w:rPr>
          <w:rFonts w:hint="cs"/>
          <w:rtl/>
        </w:rPr>
        <w:t>טעם המשיב 2, לצורך בירור מקום ה</w:t>
      </w:r>
      <w:r w:rsidR="00A55971">
        <w:rPr>
          <w:rFonts w:hint="cs"/>
          <w:rtl/>
        </w:rPr>
        <w:t>י</w:t>
      </w:r>
      <w:r>
        <w:rPr>
          <w:rFonts w:hint="cs"/>
          <w:rtl/>
        </w:rPr>
        <w:t xml:space="preserve">מצאו של תושב עזה שקרוביו </w:t>
      </w:r>
      <w:r>
        <w:rPr>
          <w:rFonts w:hint="cs"/>
          <w:rtl/>
        </w:rPr>
        <w:lastRenderedPageBreak/>
        <w:t>חושדים כי נעצר. זאת בכפוף, בין היתר, להוכחת זיקה של הפונה לעצור הנטען, ותוך הבהרה כי בנסיבות של מצב לחימה, לא מן הנמנע כי פרק הזמן לקיום הביר</w:t>
      </w:r>
      <w:r>
        <w:rPr>
          <w:rFonts w:hint="cs"/>
          <w:rtl/>
        </w:rPr>
        <w:t>ור הפרטני י</w:t>
      </w:r>
      <w:r w:rsidR="00022D51">
        <w:rPr>
          <w:rFonts w:hint="cs"/>
          <w:rtl/>
        </w:rPr>
        <w:t xml:space="preserve">היה </w:t>
      </w:r>
      <w:r>
        <w:rPr>
          <w:rFonts w:hint="cs"/>
          <w:rtl/>
        </w:rPr>
        <w:t xml:space="preserve">ארוך מן הרגיל. בהקשר זה טוענים המשיבים בעתירה דנן, כי אפשרות זו, שניתנה בשעתו לפנים משורת הדין, כלל אינה רלבנטית לענייננו, שעה שאף העותרים אינם טוענים כי נעשתה פנייה כלשהי למשיב 2 בשם משפחות העותרים 2-1, ואך טוענים כי </w:t>
      </w:r>
      <w:r w:rsidRPr="00B2626F">
        <w:rPr>
          <w:rFonts w:ascii="Century" w:hAnsi="Century" w:cs="Miriam" w:hint="cs"/>
          <w:b/>
          <w:spacing w:val="0"/>
          <w:sz w:val="22"/>
          <w:szCs w:val="24"/>
          <w:rtl/>
        </w:rPr>
        <w:t>"עמיתם לעבודה"</w:t>
      </w:r>
      <w:r>
        <w:rPr>
          <w:rFonts w:hint="cs"/>
          <w:rtl/>
        </w:rPr>
        <w:t xml:space="preserve"> של השניי</w:t>
      </w:r>
      <w:r>
        <w:rPr>
          <w:rFonts w:hint="cs"/>
          <w:rtl/>
        </w:rPr>
        <w:t>ם, הוא שפנה למוקד בעניינם. המשיבים מציינים</w:t>
      </w:r>
      <w:r w:rsidR="00022D51">
        <w:rPr>
          <w:rFonts w:hint="cs"/>
          <w:rtl/>
        </w:rPr>
        <w:t>,</w:t>
      </w:r>
      <w:r>
        <w:rPr>
          <w:rFonts w:hint="cs"/>
          <w:rtl/>
        </w:rPr>
        <w:t xml:space="preserve"> כי גם ביחס למעצרים הנעשים באזור יהודה ושומרון, נמעני המידע על אודות זהות ומקום העצור, הם קרובי המשפחה בלבד. </w:t>
      </w:r>
    </w:p>
    <w:p w:rsidR="00E228DD" w:rsidRDefault="00E228DD" w:rsidP="006330C5">
      <w:pPr>
        <w:pStyle w:val="Ruller4"/>
        <w:numPr>
          <w:ilvl w:val="0"/>
          <w:numId w:val="0"/>
        </w:numPr>
        <w:spacing w:line="240" w:lineRule="auto"/>
      </w:pPr>
    </w:p>
    <w:p w:rsidR="00E228DD" w:rsidRDefault="00C8369C" w:rsidP="00022D51">
      <w:pPr>
        <w:pStyle w:val="Ruller4"/>
        <w:rPr>
          <w:rtl/>
        </w:rPr>
      </w:pPr>
      <w:r>
        <w:rPr>
          <w:rFonts w:hint="cs"/>
          <w:rtl/>
        </w:rPr>
        <w:t>באשר לסע</w:t>
      </w:r>
      <w:r w:rsidR="001629D0">
        <w:rPr>
          <w:rFonts w:hint="cs"/>
          <w:rtl/>
        </w:rPr>
        <w:t xml:space="preserve">דים הנוגעים לרישום מקום העצורים </w:t>
      </w:r>
      <w:r w:rsidR="001629D0">
        <w:rPr>
          <w:rtl/>
        </w:rPr>
        <w:t>–</w:t>
      </w:r>
      <w:r w:rsidR="001629D0">
        <w:rPr>
          <w:rFonts w:hint="cs"/>
          <w:rtl/>
        </w:rPr>
        <w:t xml:space="preserve"> </w:t>
      </w:r>
      <w:r>
        <w:rPr>
          <w:rFonts w:hint="cs"/>
          <w:rtl/>
        </w:rPr>
        <w:t>הן במישור הכללי</w:t>
      </w:r>
      <w:r w:rsidR="001629D0">
        <w:rPr>
          <w:rFonts w:hint="cs"/>
          <w:rtl/>
        </w:rPr>
        <w:t>,</w:t>
      </w:r>
      <w:r>
        <w:rPr>
          <w:rFonts w:hint="cs"/>
          <w:rtl/>
        </w:rPr>
        <w:t xml:space="preserve"> הן הפרטני</w:t>
      </w:r>
      <w:r w:rsidR="001629D0">
        <w:rPr>
          <w:rFonts w:hint="cs"/>
          <w:rtl/>
        </w:rPr>
        <w:t xml:space="preserve"> </w:t>
      </w:r>
      <w:r w:rsidR="001629D0">
        <w:rPr>
          <w:rtl/>
        </w:rPr>
        <w:t>–</w:t>
      </w:r>
      <w:r w:rsidR="001629D0">
        <w:rPr>
          <w:rFonts w:hint="cs"/>
          <w:rtl/>
        </w:rPr>
        <w:t xml:space="preserve"> </w:t>
      </w:r>
      <w:r>
        <w:rPr>
          <w:rFonts w:hint="cs"/>
          <w:rtl/>
        </w:rPr>
        <w:t>טוענים המשיבים</w:t>
      </w:r>
      <w:r w:rsidR="001629D0">
        <w:rPr>
          <w:rFonts w:hint="cs"/>
          <w:rtl/>
        </w:rPr>
        <w:t>,</w:t>
      </w:r>
      <w:r w:rsidR="00022D51">
        <w:rPr>
          <w:rFonts w:hint="cs"/>
          <w:rtl/>
        </w:rPr>
        <w:t xml:space="preserve"> כי העותרים לא ט</w:t>
      </w:r>
      <w:r>
        <w:rPr>
          <w:rFonts w:hint="cs"/>
          <w:rtl/>
        </w:rPr>
        <w:t>רח</w:t>
      </w:r>
      <w:r w:rsidR="00022D51">
        <w:rPr>
          <w:rFonts w:hint="cs"/>
          <w:rtl/>
        </w:rPr>
        <w:t>ו</w:t>
      </w:r>
      <w:r>
        <w:rPr>
          <w:rFonts w:hint="cs"/>
          <w:rtl/>
        </w:rPr>
        <w:t xml:space="preserve"> כלל לבסס את הנחת המוצא</w:t>
      </w:r>
      <w:r w:rsidR="001629D0">
        <w:rPr>
          <w:rFonts w:hint="cs"/>
          <w:rtl/>
        </w:rPr>
        <w:t xml:space="preserve"> שבפיהם</w:t>
      </w:r>
      <w:r>
        <w:rPr>
          <w:rFonts w:hint="cs"/>
          <w:rtl/>
        </w:rPr>
        <w:t xml:space="preserve">, </w:t>
      </w:r>
      <w:r w:rsidR="00022D51">
        <w:rPr>
          <w:rFonts w:hint="cs"/>
          <w:rtl/>
        </w:rPr>
        <w:t xml:space="preserve">כי </w:t>
      </w:r>
      <w:r>
        <w:rPr>
          <w:rFonts w:hint="cs"/>
          <w:rtl/>
        </w:rPr>
        <w:t xml:space="preserve">לא קיים תיעוד של תושבי רצועת עזה המוחזקים בישראל; עוד מציינים המשיבים, כי מדובר בטענה שכבר ניתנה לה תשובה </w:t>
      </w:r>
      <w:r w:rsidR="001629D0">
        <w:rPr>
          <w:rFonts w:hint="cs"/>
          <w:rtl/>
        </w:rPr>
        <w:t>בשעתו (בשנת 2014)</w:t>
      </w:r>
      <w:r w:rsidR="00022D51">
        <w:rPr>
          <w:rFonts w:hint="cs"/>
          <w:rtl/>
        </w:rPr>
        <w:t>,</w:t>
      </w:r>
      <w:r w:rsidR="001629D0">
        <w:rPr>
          <w:rFonts w:hint="cs"/>
          <w:rtl/>
        </w:rPr>
        <w:t xml:space="preserve"> </w:t>
      </w:r>
      <w:r>
        <w:rPr>
          <w:rFonts w:hint="cs"/>
          <w:rtl/>
        </w:rPr>
        <w:t xml:space="preserve">במסגרת התגובה לעתירת </w:t>
      </w:r>
      <w:r w:rsidRPr="00B2626F">
        <w:rPr>
          <w:rFonts w:ascii="Century" w:hAnsi="Century" w:cs="Miriam" w:hint="cs"/>
          <w:b/>
          <w:spacing w:val="0"/>
          <w:sz w:val="22"/>
          <w:szCs w:val="24"/>
          <w:rtl/>
        </w:rPr>
        <w:t>המוקד להגנת הפרט</w:t>
      </w:r>
      <w:r w:rsidR="001629D0">
        <w:rPr>
          <w:rFonts w:hint="cs"/>
          <w:rtl/>
        </w:rPr>
        <w:t xml:space="preserve">, אשר הובילה, בהמלצת בית המשפט, </w:t>
      </w:r>
      <w:r>
        <w:rPr>
          <w:rFonts w:hint="cs"/>
          <w:rtl/>
        </w:rPr>
        <w:t>למחיקתה.</w:t>
      </w:r>
    </w:p>
    <w:p w:rsidR="00E228DD" w:rsidRDefault="00E228DD" w:rsidP="006330C5">
      <w:pPr>
        <w:pStyle w:val="Ruller40"/>
        <w:spacing w:line="240" w:lineRule="auto"/>
        <w:rPr>
          <w:rtl/>
        </w:rPr>
      </w:pPr>
    </w:p>
    <w:p w:rsidR="00E228DD" w:rsidRDefault="00C8369C" w:rsidP="00022D51">
      <w:pPr>
        <w:pStyle w:val="Ruller4"/>
        <w:rPr>
          <w:rtl/>
        </w:rPr>
      </w:pPr>
      <w:r>
        <w:rPr>
          <w:rFonts w:hint="cs"/>
          <w:rtl/>
        </w:rPr>
        <w:t>ביום 18.10.202</w:t>
      </w:r>
      <w:r>
        <w:rPr>
          <w:rFonts w:hint="cs"/>
          <w:rtl/>
        </w:rPr>
        <w:t xml:space="preserve">3, נעניתי לבקשת המוקד להגנת הפרט להשיב לתגובת </w:t>
      </w:r>
      <w:r w:rsidRPr="005D48B6">
        <w:rPr>
          <w:rFonts w:hint="cs"/>
          <w:rtl/>
        </w:rPr>
        <w:t>המשיבים.</w:t>
      </w:r>
      <w:r>
        <w:rPr>
          <w:rFonts w:hint="cs"/>
          <w:rtl/>
        </w:rPr>
        <w:t xml:space="preserve"> המוקד טען בתשובתו, כי עניין </w:t>
      </w:r>
      <w:r w:rsidRPr="005D48B6">
        <w:rPr>
          <w:rFonts w:ascii="Century" w:hAnsi="Century" w:cs="Miriam" w:hint="cs"/>
          <w:b/>
          <w:spacing w:val="0"/>
          <w:sz w:val="22"/>
          <w:szCs w:val="24"/>
          <w:rtl/>
        </w:rPr>
        <w:t>המוקד להגנת הפרט</w:t>
      </w:r>
      <w:r w:rsidRPr="005D48B6">
        <w:rPr>
          <w:rFonts w:hint="cs"/>
          <w:rtl/>
        </w:rPr>
        <w:t xml:space="preserve"> </w:t>
      </w:r>
      <w:r>
        <w:rPr>
          <w:rFonts w:hint="cs"/>
          <w:rtl/>
        </w:rPr>
        <w:t xml:space="preserve">עסק </w:t>
      </w:r>
      <w:r w:rsidR="001D47CD">
        <w:rPr>
          <w:rFonts w:hint="cs"/>
          <w:rtl/>
        </w:rPr>
        <w:t xml:space="preserve">בשעתו </w:t>
      </w:r>
      <w:r w:rsidR="002C748B">
        <w:rPr>
          <w:rFonts w:hint="cs"/>
          <w:rtl/>
        </w:rPr>
        <w:t xml:space="preserve">(בשנת 2014), </w:t>
      </w:r>
      <w:r>
        <w:rPr>
          <w:rFonts w:hint="cs"/>
          <w:rtl/>
        </w:rPr>
        <w:t xml:space="preserve">בבקשה לקבל את פרטיהם של כלל תושבי עזה העצורים בישראל, בעוד עתירה זו עניינה קבלת מידע פרטני </w:t>
      </w:r>
      <w:r w:rsidR="001D47CD">
        <w:rPr>
          <w:rFonts w:hint="cs"/>
          <w:rtl/>
        </w:rPr>
        <w:t xml:space="preserve">על </w:t>
      </w:r>
      <w:r>
        <w:rPr>
          <w:rFonts w:hint="cs"/>
          <w:rtl/>
        </w:rPr>
        <w:t>אודות העותרים 2-1, ואין ללמוד מהתם להכא</w:t>
      </w:r>
      <w:r>
        <w:rPr>
          <w:rFonts w:hint="cs"/>
          <w:rtl/>
        </w:rPr>
        <w:t>. עוד ה</w:t>
      </w:r>
      <w:r w:rsidR="00022D51">
        <w:rPr>
          <w:rFonts w:hint="cs"/>
          <w:rtl/>
        </w:rPr>
        <w:t>י</w:t>
      </w:r>
      <w:r>
        <w:rPr>
          <w:rFonts w:hint="cs"/>
          <w:rtl/>
        </w:rPr>
        <w:t>פנה המוקד ל</w:t>
      </w:r>
      <w:r w:rsidRPr="00FD0873">
        <w:rPr>
          <w:rFonts w:ascii="Century" w:hAnsi="Century" w:cs="Miriam" w:hint="cs"/>
          <w:b/>
          <w:spacing w:val="0"/>
          <w:sz w:val="22"/>
          <w:szCs w:val="24"/>
          <w:rtl/>
        </w:rPr>
        <w:t>"התחייבותם"</w:t>
      </w:r>
      <w:r>
        <w:rPr>
          <w:rFonts w:hint="cs"/>
          <w:rtl/>
        </w:rPr>
        <w:t xml:space="preserve"> של המשיבים, שניתנה לטענתו בבג"ץ 289/09 </w:t>
      </w:r>
      <w:r w:rsidRPr="00FD0873">
        <w:rPr>
          <w:rFonts w:ascii="Century" w:hAnsi="Century" w:cs="Miriam" w:hint="cs"/>
          <w:b/>
          <w:spacing w:val="0"/>
          <w:sz w:val="22"/>
          <w:szCs w:val="24"/>
          <w:rtl/>
        </w:rPr>
        <w:t>עטאר נ' צבא ההגנה לישראל</w:t>
      </w:r>
      <w:r w:rsidR="001D47CD">
        <w:rPr>
          <w:rFonts w:hint="cs"/>
          <w:rtl/>
        </w:rPr>
        <w:t xml:space="preserve"> (25.1.2009), לפיה </w:t>
      </w:r>
      <w:r>
        <w:rPr>
          <w:rFonts w:hint="cs"/>
          <w:rtl/>
        </w:rPr>
        <w:t>י</w:t>
      </w:r>
      <w:r w:rsidR="001D47CD">
        <w:rPr>
          <w:rFonts w:hint="cs"/>
          <w:rtl/>
        </w:rPr>
        <w:t>ֵ</w:t>
      </w:r>
      <w:r>
        <w:rPr>
          <w:rFonts w:hint="cs"/>
          <w:rtl/>
        </w:rPr>
        <w:t xml:space="preserve">עשה מאמץ להעביר את פרטיהם של עצורים מעזה בישראל, </w:t>
      </w:r>
      <w:r w:rsidRPr="00FD0873">
        <w:rPr>
          <w:rFonts w:ascii="Century" w:hAnsi="Century" w:cs="Miriam" w:hint="cs"/>
          <w:b/>
          <w:spacing w:val="0"/>
          <w:sz w:val="22"/>
          <w:szCs w:val="24"/>
          <w:rtl/>
        </w:rPr>
        <w:t>"תוך 48 שעות"</w:t>
      </w:r>
      <w:r>
        <w:rPr>
          <w:rFonts w:hint="cs"/>
          <w:rtl/>
        </w:rPr>
        <w:t xml:space="preserve"> מעת הגעתם לישראל. כמו כן, ה</w:t>
      </w:r>
      <w:r w:rsidR="00022D51">
        <w:rPr>
          <w:rFonts w:hint="cs"/>
          <w:rtl/>
        </w:rPr>
        <w:t>י</w:t>
      </w:r>
      <w:r>
        <w:rPr>
          <w:rFonts w:hint="cs"/>
          <w:rtl/>
        </w:rPr>
        <w:t>פנה המוקד להסכמת המשיבים שנמסרה במסגרת תגובתם בבג"</w:t>
      </w:r>
      <w:r>
        <w:rPr>
          <w:rFonts w:hint="cs"/>
          <w:rtl/>
        </w:rPr>
        <w:t xml:space="preserve">ץ 5226/14 </w:t>
      </w:r>
      <w:r w:rsidRPr="00FA46F5">
        <w:rPr>
          <w:rFonts w:ascii="Century" w:hAnsi="Century" w:cs="Miriam" w:hint="cs"/>
          <w:b/>
          <w:spacing w:val="0"/>
          <w:sz w:val="22"/>
          <w:szCs w:val="24"/>
          <w:rtl/>
        </w:rPr>
        <w:t>אבו רידה נ' צבא ההגנה לישראל</w:t>
      </w:r>
      <w:r w:rsidRPr="00FA46F5">
        <w:rPr>
          <w:rFonts w:hint="cs"/>
          <w:rtl/>
        </w:rPr>
        <w:t xml:space="preserve"> </w:t>
      </w:r>
      <w:r>
        <w:rPr>
          <w:rFonts w:hint="cs"/>
          <w:rtl/>
        </w:rPr>
        <w:t>(31.7.2014), לאפשר פנייה פרטנית בעניינם של עצורים</w:t>
      </w:r>
      <w:r w:rsidR="00022D51">
        <w:rPr>
          <w:rFonts w:hint="cs"/>
          <w:rtl/>
        </w:rPr>
        <w:t>, תושבי עז</w:t>
      </w:r>
      <w:r w:rsidR="0007725E">
        <w:rPr>
          <w:rFonts w:hint="cs"/>
          <w:rtl/>
        </w:rPr>
        <w:t>ה</w:t>
      </w:r>
      <w:r w:rsidR="00022D51">
        <w:rPr>
          <w:rFonts w:hint="cs"/>
          <w:rtl/>
        </w:rPr>
        <w:t>,</w:t>
      </w:r>
      <w:r>
        <w:rPr>
          <w:rFonts w:hint="cs"/>
          <w:rtl/>
        </w:rPr>
        <w:t xml:space="preserve"> בישראל, למשל"ט הכליאה מטעם המשיב 2. בנוסף, טען המוקד, כי לצורך האפשרות לפנות באופן פרטני כאמור </w:t>
      </w:r>
      <w:r>
        <w:rPr>
          <w:rtl/>
        </w:rPr>
        <w:t>–</w:t>
      </w:r>
      <w:r>
        <w:rPr>
          <w:rFonts w:hint="cs"/>
          <w:rtl/>
        </w:rPr>
        <w:t xml:space="preserve"> אשר ניתנה בשעתו ביחס לקרובי משפחה של העצורים </w:t>
      </w:r>
      <w:r>
        <w:rPr>
          <w:rtl/>
        </w:rPr>
        <w:t>–</w:t>
      </w:r>
      <w:r>
        <w:rPr>
          <w:rFonts w:hint="cs"/>
          <w:rtl/>
        </w:rPr>
        <w:t xml:space="preserve"> </w:t>
      </w:r>
      <w:r w:rsidRPr="00FD0873">
        <w:rPr>
          <w:rFonts w:ascii="Century" w:hAnsi="Century" w:cs="Miriam" w:hint="cs"/>
          <w:b/>
          <w:spacing w:val="0"/>
          <w:sz w:val="22"/>
          <w:szCs w:val="24"/>
          <w:rtl/>
        </w:rPr>
        <w:t>"ראוי לראות</w:t>
      </w:r>
      <w:r w:rsidRPr="00FD0873">
        <w:rPr>
          <w:rFonts w:ascii="Century" w:hAnsi="Century" w:cs="Miriam" w:hint="cs"/>
          <w:b/>
          <w:spacing w:val="0"/>
          <w:sz w:val="22"/>
          <w:szCs w:val="24"/>
          <w:rtl/>
        </w:rPr>
        <w:t xml:space="preserve"> בעמיתם או כל מי שעלה בידו מטעם משפחתם [...] כקרוביהם"</w:t>
      </w:r>
      <w:r>
        <w:rPr>
          <w:rFonts w:hint="cs"/>
          <w:rtl/>
        </w:rPr>
        <w:t xml:space="preserve">. </w:t>
      </w:r>
    </w:p>
    <w:p w:rsidR="00E228DD" w:rsidRPr="004018A3" w:rsidRDefault="00E228DD" w:rsidP="00E228DD">
      <w:pPr>
        <w:pStyle w:val="Ruller40"/>
      </w:pPr>
    </w:p>
    <w:p w:rsidR="00E228DD" w:rsidRDefault="00C8369C" w:rsidP="00E228DD">
      <w:pPr>
        <w:pStyle w:val="Ruller4"/>
        <w:rPr>
          <w:rtl/>
        </w:rPr>
      </w:pPr>
      <w:r>
        <w:rPr>
          <w:rFonts w:hint="cs"/>
          <w:rtl/>
        </w:rPr>
        <w:t xml:space="preserve">שקלתי את הנטען בעתירה, ומסקנתי היא, כי דין העתירה להידחות. </w:t>
      </w:r>
    </w:p>
    <w:p w:rsidR="00E228DD" w:rsidRDefault="00E228DD" w:rsidP="00E228DD">
      <w:pPr>
        <w:pStyle w:val="Ruller40"/>
        <w:rPr>
          <w:rtl/>
        </w:rPr>
      </w:pPr>
    </w:p>
    <w:p w:rsidR="00E228DD" w:rsidRDefault="00C8369C" w:rsidP="00022D51">
      <w:pPr>
        <w:pStyle w:val="Ruller4"/>
        <w:numPr>
          <w:ilvl w:val="0"/>
          <w:numId w:val="0"/>
        </w:numPr>
        <w:rPr>
          <w:rtl/>
        </w:rPr>
      </w:pPr>
      <w:r>
        <w:rPr>
          <w:rtl/>
        </w:rPr>
        <w:tab/>
      </w:r>
      <w:r>
        <w:rPr>
          <w:rFonts w:hint="cs"/>
          <w:rtl/>
        </w:rPr>
        <w:t>ב</w:t>
      </w:r>
      <w:r w:rsidR="00022D51">
        <w:rPr>
          <w:rFonts w:hint="cs"/>
          <w:rtl/>
        </w:rPr>
        <w:t>ימים נוראים אלה,</w:t>
      </w:r>
      <w:r>
        <w:rPr>
          <w:rFonts w:hint="cs"/>
          <w:rtl/>
        </w:rPr>
        <w:t xml:space="preserve"> מנהלת מדינת ישראל מערכה קשה נגד מבקשי נפשה מארגון חמאס השולט ברצועת עזה, אשר שלח את מרצחיו, ועימו 'ערב רב'</w:t>
      </w:r>
      <w:r w:rsidR="00022D51">
        <w:rPr>
          <w:rFonts w:hint="cs"/>
          <w:rtl/>
        </w:rPr>
        <w:t xml:space="preserve">, אספסוף </w:t>
      </w:r>
      <w:r>
        <w:rPr>
          <w:rFonts w:hint="cs"/>
          <w:rtl/>
        </w:rPr>
        <w:t>צמא</w:t>
      </w:r>
      <w:r>
        <w:rPr>
          <w:rFonts w:hint="cs"/>
          <w:rtl/>
        </w:rPr>
        <w:t xml:space="preserve">-דם, בבוקר יום 7.10.2023 </w:t>
      </w:r>
      <w:r w:rsidR="001D47CD">
        <w:rPr>
          <w:rFonts w:hint="cs"/>
          <w:rtl/>
        </w:rPr>
        <w:t>(חג שמחת תורה)</w:t>
      </w:r>
      <w:r>
        <w:rPr>
          <w:rFonts w:hint="cs"/>
          <w:rtl/>
        </w:rPr>
        <w:t xml:space="preserve"> </w:t>
      </w:r>
      <w:r>
        <w:rPr>
          <w:rtl/>
        </w:rPr>
        <w:t>–</w:t>
      </w:r>
      <w:r>
        <w:rPr>
          <w:rFonts w:hint="cs"/>
          <w:rtl/>
        </w:rPr>
        <w:t xml:space="preserve"> להשמיד להרוג ולאבד, מנער ועד זקן, טף ונשים.</w:t>
      </w:r>
    </w:p>
    <w:p w:rsidR="00E228DD" w:rsidRDefault="00E228DD" w:rsidP="00721C41">
      <w:pPr>
        <w:pStyle w:val="Ruller40"/>
        <w:spacing w:line="240" w:lineRule="auto"/>
        <w:rPr>
          <w:rtl/>
        </w:rPr>
      </w:pPr>
    </w:p>
    <w:p w:rsidR="00E228DD" w:rsidRDefault="00C8369C" w:rsidP="00022D51">
      <w:pPr>
        <w:pStyle w:val="Ruller4"/>
      </w:pPr>
      <w:r>
        <w:rPr>
          <w:rFonts w:hint="cs"/>
          <w:rtl/>
        </w:rPr>
        <w:t xml:space="preserve">לטענת המוקד, </w:t>
      </w:r>
      <w:r w:rsidR="00022D51">
        <w:rPr>
          <w:rFonts w:hint="cs"/>
          <w:rtl/>
        </w:rPr>
        <w:t>עם פרוץ המלחמה</w:t>
      </w:r>
      <w:r w:rsidR="003565E0">
        <w:rPr>
          <w:rFonts w:hint="cs"/>
          <w:rtl/>
        </w:rPr>
        <w:t xml:space="preserve">, </w:t>
      </w:r>
      <w:r w:rsidR="00022D51">
        <w:rPr>
          <w:rFonts w:hint="cs"/>
          <w:rtl/>
        </w:rPr>
        <w:t xml:space="preserve">ביום 7.10.2023, </w:t>
      </w:r>
      <w:r w:rsidR="003565E0">
        <w:rPr>
          <w:rFonts w:hint="cs"/>
          <w:rtl/>
        </w:rPr>
        <w:t>נעצרו העותרים 2-1 על-</w:t>
      </w:r>
      <w:r>
        <w:rPr>
          <w:rFonts w:hint="cs"/>
          <w:rtl/>
        </w:rPr>
        <w:t>ידי כוחות הביטחון באזור מחסום ארז</w:t>
      </w:r>
      <w:r w:rsidR="0007725E">
        <w:rPr>
          <w:rFonts w:hint="cs"/>
          <w:rtl/>
        </w:rPr>
        <w:t>.</w:t>
      </w:r>
      <w:r>
        <w:rPr>
          <w:rFonts w:hint="cs"/>
          <w:rtl/>
        </w:rPr>
        <w:t xml:space="preserve"> כעת, בעיצומה של המערכה, מבקש המוקד כי נורה למשיבים, כוחות הביטחון, ל</w:t>
      </w:r>
      <w:r>
        <w:rPr>
          <w:rFonts w:hint="cs"/>
          <w:rtl/>
        </w:rPr>
        <w:t>פזר את ערפל הקרב, לאתר בין עצורי המלחמה את העותרים 2-1, ולמסור לו מידע</w:t>
      </w:r>
      <w:r w:rsidR="001D47CD">
        <w:rPr>
          <w:rFonts w:hint="cs"/>
          <w:rtl/>
        </w:rPr>
        <w:t xml:space="preserve"> על </w:t>
      </w:r>
      <w:r>
        <w:rPr>
          <w:rFonts w:hint="cs"/>
          <w:rtl/>
        </w:rPr>
        <w:t>אודות מקום מעצרם ו</w:t>
      </w:r>
      <w:r w:rsidR="00022D51">
        <w:rPr>
          <w:rFonts w:hint="cs"/>
          <w:rtl/>
        </w:rPr>
        <w:t xml:space="preserve">על </w:t>
      </w:r>
      <w:r>
        <w:rPr>
          <w:rFonts w:hint="cs"/>
          <w:rtl/>
        </w:rPr>
        <w:t xml:space="preserve">הגורם המחזיק בהם. </w:t>
      </w:r>
    </w:p>
    <w:p w:rsidR="00E228DD" w:rsidRDefault="00E228DD" w:rsidP="006330C5">
      <w:pPr>
        <w:pStyle w:val="Ruller4"/>
        <w:numPr>
          <w:ilvl w:val="0"/>
          <w:numId w:val="0"/>
        </w:numPr>
        <w:spacing w:line="240" w:lineRule="auto"/>
      </w:pPr>
    </w:p>
    <w:p w:rsidR="00E228DD" w:rsidRDefault="00C8369C" w:rsidP="00022D51">
      <w:pPr>
        <w:pStyle w:val="Ruller4"/>
        <w:rPr>
          <w:rtl/>
        </w:rPr>
      </w:pPr>
      <w:r>
        <w:rPr>
          <w:rFonts w:hint="cs"/>
          <w:rtl/>
        </w:rPr>
        <w:t>המוקד נוטע יתדותיו, כאמור, בהוראות הצו בדבר הוראות ביטחון. דא עקא, הוראות הצו אינן רלבנטיות לעניינ</w:t>
      </w:r>
      <w:r w:rsidR="001D47CD">
        <w:rPr>
          <w:rFonts w:hint="cs"/>
          <w:rtl/>
        </w:rPr>
        <w:t>נ</w:t>
      </w:r>
      <w:r>
        <w:rPr>
          <w:rFonts w:hint="cs"/>
          <w:rtl/>
        </w:rPr>
        <w:t xml:space="preserve">ו, משני טעמים: </w:t>
      </w:r>
      <w:r w:rsidRPr="00345373">
        <w:rPr>
          <w:rFonts w:ascii="Century" w:hAnsi="Century" w:cs="Miriam" w:hint="cs"/>
          <w:b/>
          <w:spacing w:val="0"/>
          <w:sz w:val="22"/>
          <w:szCs w:val="24"/>
          <w:rtl/>
        </w:rPr>
        <w:t>ראשית</w:t>
      </w:r>
      <w:r w:rsidR="001D47CD">
        <w:rPr>
          <w:rFonts w:hint="cs"/>
          <w:rtl/>
        </w:rPr>
        <w:t>, ע</w:t>
      </w:r>
      <w:r>
        <w:rPr>
          <w:rFonts w:hint="cs"/>
          <w:rtl/>
        </w:rPr>
        <w:t>י</w:t>
      </w:r>
      <w:r w:rsidR="001D47CD">
        <w:rPr>
          <w:rFonts w:hint="cs"/>
          <w:rtl/>
        </w:rPr>
        <w:t>נ</w:t>
      </w:r>
      <w:r w:rsidR="004C76B7">
        <w:rPr>
          <w:rFonts w:hint="cs"/>
          <w:rtl/>
        </w:rPr>
        <w:t>י</w:t>
      </w:r>
      <w:r>
        <w:rPr>
          <w:rFonts w:hint="cs"/>
          <w:rtl/>
        </w:rPr>
        <w:t>נו הרואות, כי מס</w:t>
      </w:r>
      <w:r>
        <w:rPr>
          <w:rFonts w:hint="cs"/>
          <w:rtl/>
        </w:rPr>
        <w:t xml:space="preserve">ירת המידע בהתאם לצו, תיעשה </w:t>
      </w:r>
      <w:r w:rsidRPr="00345373">
        <w:rPr>
          <w:rFonts w:ascii="Century" w:hAnsi="Century" w:cs="Miriam" w:hint="cs"/>
          <w:b/>
          <w:spacing w:val="0"/>
          <w:sz w:val="22"/>
          <w:szCs w:val="24"/>
          <w:rtl/>
        </w:rPr>
        <w:t>"לקרוביו"</w:t>
      </w:r>
      <w:r w:rsidRPr="005D48B6">
        <w:rPr>
          <w:rFonts w:hint="cs"/>
          <w:rtl/>
        </w:rPr>
        <w:t xml:space="preserve"> </w:t>
      </w:r>
      <w:r>
        <w:rPr>
          <w:rFonts w:hint="cs"/>
          <w:rtl/>
        </w:rPr>
        <w:t>של העצור. בעניי</w:t>
      </w:r>
      <w:r w:rsidR="001D47CD">
        <w:rPr>
          <w:rFonts w:hint="cs"/>
          <w:rtl/>
        </w:rPr>
        <w:t>נ</w:t>
      </w:r>
      <w:r>
        <w:rPr>
          <w:rFonts w:hint="cs"/>
          <w:rtl/>
        </w:rPr>
        <w:t>נו, דורש המידע הוא המוקד</w:t>
      </w:r>
      <w:r w:rsidR="001D47CD">
        <w:rPr>
          <w:rFonts w:hint="cs"/>
          <w:rtl/>
        </w:rPr>
        <w:t xml:space="preserve"> להגנת הפרט</w:t>
      </w:r>
      <w:r>
        <w:rPr>
          <w:rFonts w:hint="cs"/>
          <w:rtl/>
        </w:rPr>
        <w:t>, אשר לא בא, ואף לא טוען שבא, בשמם ובעקבות פנייתם של קרובי העצורים הנטענים. גם לטענת ה</w:t>
      </w:r>
      <w:r w:rsidR="003565E0">
        <w:rPr>
          <w:rFonts w:hint="cs"/>
          <w:rtl/>
        </w:rPr>
        <w:t>מוקד עצמו, הפנייה אליו נעשתה על-</w:t>
      </w:r>
      <w:r>
        <w:rPr>
          <w:rFonts w:hint="cs"/>
          <w:rtl/>
        </w:rPr>
        <w:t xml:space="preserve">ידי </w:t>
      </w:r>
      <w:r w:rsidRPr="00345373">
        <w:rPr>
          <w:rFonts w:ascii="Century" w:hAnsi="Century" w:cs="Miriam" w:hint="cs"/>
          <w:b/>
          <w:spacing w:val="0"/>
          <w:sz w:val="22"/>
          <w:szCs w:val="24"/>
          <w:rtl/>
        </w:rPr>
        <w:t>"עמיתם לעבודה"</w:t>
      </w:r>
      <w:r>
        <w:rPr>
          <w:rFonts w:hint="cs"/>
          <w:rtl/>
        </w:rPr>
        <w:t xml:space="preserve"> של העותרים 2-1. בתשובתו לתגובת המשיבים, </w:t>
      </w:r>
      <w:r w:rsidR="001D47CD">
        <w:rPr>
          <w:rFonts w:hint="cs"/>
          <w:rtl/>
        </w:rPr>
        <w:t xml:space="preserve">ניסה </w:t>
      </w:r>
      <w:r>
        <w:rPr>
          <w:rFonts w:hint="cs"/>
          <w:rtl/>
        </w:rPr>
        <w:t xml:space="preserve">המוקד </w:t>
      </w:r>
      <w:r w:rsidR="005C238C">
        <w:rPr>
          <w:rFonts w:hint="cs"/>
          <w:rtl/>
        </w:rPr>
        <w:t xml:space="preserve">לבצע </w:t>
      </w:r>
      <w:r>
        <w:rPr>
          <w:rFonts w:hint="cs"/>
          <w:rtl/>
        </w:rPr>
        <w:t>'מקצה שיפורים' בגרסתו, וטען כי גם משפחות העותרים 2-1 הצטרפו בדיעבד לפנייה; ואולם</w:t>
      </w:r>
      <w:r w:rsidR="002C748B">
        <w:rPr>
          <w:rFonts w:hint="cs"/>
          <w:rtl/>
        </w:rPr>
        <w:t>,</w:t>
      </w:r>
      <w:r>
        <w:rPr>
          <w:rFonts w:hint="cs"/>
          <w:rtl/>
        </w:rPr>
        <w:t xml:space="preserve"> הדברים נטענו ב</w:t>
      </w:r>
      <w:r w:rsidR="004C76B7">
        <w:rPr>
          <w:rFonts w:hint="cs"/>
          <w:rtl/>
        </w:rPr>
        <w:t>שפה ר</w:t>
      </w:r>
      <w:r>
        <w:rPr>
          <w:rFonts w:hint="cs"/>
          <w:rtl/>
        </w:rPr>
        <w:t xml:space="preserve">פה, נעדרו תימוכין כלשהם, ובהתאם </w:t>
      </w:r>
      <w:r>
        <w:rPr>
          <w:rtl/>
        </w:rPr>
        <w:t>–</w:t>
      </w:r>
      <w:r>
        <w:rPr>
          <w:rFonts w:hint="cs"/>
          <w:rtl/>
        </w:rPr>
        <w:t xml:space="preserve"> תשובת המוקד התמקדה </w:t>
      </w:r>
      <w:r w:rsidR="00022D51">
        <w:rPr>
          <w:rFonts w:hint="cs"/>
          <w:rtl/>
        </w:rPr>
        <w:t xml:space="preserve">בעיקרה </w:t>
      </w:r>
      <w:r>
        <w:rPr>
          <w:rFonts w:hint="cs"/>
          <w:rtl/>
        </w:rPr>
        <w:t>בניסיון 'להרחיב' את מעגל הנמענים הרלבנ</w:t>
      </w:r>
      <w:r>
        <w:rPr>
          <w:rFonts w:hint="cs"/>
          <w:rtl/>
        </w:rPr>
        <w:t>טיים, מעבר לקרובי משפחת העצורים הנטענים. להרחבה כזו, אין עוגן בלשון הצו.</w:t>
      </w:r>
    </w:p>
    <w:p w:rsidR="00E228DD" w:rsidRDefault="00C8369C" w:rsidP="006330C5">
      <w:pPr>
        <w:pStyle w:val="Ruller4"/>
        <w:numPr>
          <w:ilvl w:val="0"/>
          <w:numId w:val="0"/>
        </w:numPr>
        <w:spacing w:line="240" w:lineRule="auto"/>
        <w:rPr>
          <w:rtl/>
        </w:rPr>
      </w:pPr>
      <w:r>
        <w:rPr>
          <w:rFonts w:hint="cs"/>
          <w:rtl/>
        </w:rPr>
        <w:t xml:space="preserve"> </w:t>
      </w:r>
    </w:p>
    <w:p w:rsidR="00E228DD" w:rsidRDefault="00C8369C" w:rsidP="00022D51">
      <w:pPr>
        <w:pStyle w:val="Ruller4"/>
        <w:rPr>
          <w:rtl/>
        </w:rPr>
      </w:pPr>
      <w:r w:rsidRPr="00345373">
        <w:rPr>
          <w:rFonts w:ascii="Century" w:hAnsi="Century" w:cs="Miriam" w:hint="cs"/>
          <w:b/>
          <w:spacing w:val="0"/>
          <w:sz w:val="22"/>
          <w:szCs w:val="24"/>
          <w:rtl/>
        </w:rPr>
        <w:t>שנית</w:t>
      </w:r>
      <w:r>
        <w:rPr>
          <w:rFonts w:hint="cs"/>
          <w:rtl/>
        </w:rPr>
        <w:t>, הצו בדבר הוראות ביטחון כלל לא חל בעניי</w:t>
      </w:r>
      <w:r w:rsidR="002C748B">
        <w:rPr>
          <w:rFonts w:hint="cs"/>
          <w:rtl/>
        </w:rPr>
        <w:t>נ</w:t>
      </w:r>
      <w:r>
        <w:rPr>
          <w:rFonts w:hint="cs"/>
          <w:rtl/>
        </w:rPr>
        <w:t xml:space="preserve">נו, משום שמצודתו פרוסה על </w:t>
      </w:r>
      <w:r w:rsidRPr="005D48B6">
        <w:rPr>
          <w:rFonts w:ascii="Century" w:hAnsi="Century" w:cs="Miriam" w:hint="cs"/>
          <w:b/>
          <w:spacing w:val="0"/>
          <w:sz w:val="22"/>
          <w:szCs w:val="24"/>
          <w:rtl/>
        </w:rPr>
        <w:t>אזור יהודה ושומרון</w:t>
      </w:r>
      <w:r w:rsidRPr="005D48B6">
        <w:rPr>
          <w:rFonts w:hint="cs"/>
          <w:rtl/>
        </w:rPr>
        <w:t xml:space="preserve"> </w:t>
      </w:r>
      <w:r w:rsidRPr="005D48B6">
        <w:rPr>
          <w:rFonts w:ascii="Century" w:hAnsi="Century" w:cs="Miriam" w:hint="cs"/>
          <w:b/>
          <w:spacing w:val="0"/>
          <w:sz w:val="22"/>
          <w:szCs w:val="24"/>
          <w:rtl/>
        </w:rPr>
        <w:t>בלבד</w:t>
      </w:r>
      <w:r w:rsidR="002C748B">
        <w:rPr>
          <w:rFonts w:hint="cs"/>
          <w:rtl/>
        </w:rPr>
        <w:t xml:space="preserve">, </w:t>
      </w:r>
      <w:r>
        <w:rPr>
          <w:rFonts w:hint="cs"/>
          <w:rtl/>
        </w:rPr>
        <w:t xml:space="preserve">הוא פורסם מכוח סמכויות המפקד הצבאי באזור זה, והוראות הדין המיוחדות לו. אין </w:t>
      </w:r>
      <w:r w:rsidR="00022D51">
        <w:rPr>
          <w:rFonts w:hint="cs"/>
          <w:rtl/>
        </w:rPr>
        <w:t xml:space="preserve">מקום </w:t>
      </w:r>
      <w:r>
        <w:rPr>
          <w:rFonts w:hint="cs"/>
          <w:rtl/>
        </w:rPr>
        <w:t xml:space="preserve">אפוא </w:t>
      </w:r>
      <w:r>
        <w:rPr>
          <w:rFonts w:hint="cs"/>
          <w:rtl/>
        </w:rPr>
        <w:t>להידרש להוראות הצו, וזאת, מבלי להביע עמדה לגבי תוכן הוראות</w:t>
      </w:r>
      <w:r w:rsidR="00022D51">
        <w:rPr>
          <w:rFonts w:hint="cs"/>
          <w:rtl/>
        </w:rPr>
        <w:t>יו</w:t>
      </w:r>
      <w:r>
        <w:rPr>
          <w:rFonts w:hint="cs"/>
          <w:rtl/>
        </w:rPr>
        <w:t xml:space="preserve"> לגופן. אף פסקי הדין </w:t>
      </w:r>
      <w:r w:rsidR="001D47CD">
        <w:rPr>
          <w:rFonts w:hint="cs"/>
          <w:rtl/>
        </w:rPr>
        <w:t>ש</w:t>
      </w:r>
      <w:r>
        <w:rPr>
          <w:rFonts w:hint="cs"/>
          <w:rtl/>
        </w:rPr>
        <w:t xml:space="preserve">אליהם מפנה המוקד </w:t>
      </w:r>
      <w:r w:rsidR="002C748B">
        <w:rPr>
          <w:rFonts w:hint="cs"/>
          <w:rtl/>
        </w:rPr>
        <w:t xml:space="preserve">להגנת הפרט </w:t>
      </w:r>
      <w:r>
        <w:rPr>
          <w:rFonts w:hint="cs"/>
          <w:rtl/>
        </w:rPr>
        <w:t xml:space="preserve">לביסוס חובתם של המשיבים להודיע על מקום מעצרם של תושבים פלסטיניים </w:t>
      </w:r>
      <w:r>
        <w:rPr>
          <w:rtl/>
        </w:rPr>
        <w:t>–</w:t>
      </w:r>
      <w:r>
        <w:rPr>
          <w:rFonts w:hint="cs"/>
          <w:rtl/>
        </w:rPr>
        <w:t xml:space="preserve"> עסקו כולם במעצרם של פלסטינים תושבי אזור יהודה ושומרון בלבד, ואינם רלוונטיים לעצ</w:t>
      </w:r>
      <w:r>
        <w:rPr>
          <w:rFonts w:hint="cs"/>
          <w:rtl/>
        </w:rPr>
        <w:t>ורים תושבי רצועת עזה, כאמור.</w:t>
      </w:r>
    </w:p>
    <w:p w:rsidR="00E228DD" w:rsidRPr="005A4643" w:rsidRDefault="00E228DD" w:rsidP="006330C5">
      <w:pPr>
        <w:pStyle w:val="Ruller4"/>
        <w:numPr>
          <w:ilvl w:val="0"/>
          <w:numId w:val="0"/>
        </w:numPr>
        <w:spacing w:line="240" w:lineRule="auto"/>
      </w:pPr>
    </w:p>
    <w:p w:rsidR="00E228DD" w:rsidRDefault="00C8369C" w:rsidP="002C748B">
      <w:pPr>
        <w:pStyle w:val="Ruller4"/>
        <w:rPr>
          <w:rtl/>
        </w:rPr>
      </w:pPr>
      <w:r>
        <w:rPr>
          <w:rFonts w:hint="cs"/>
          <w:rtl/>
        </w:rPr>
        <w:t>העותרים 2-1 הם תושביה של רצועת עזה</w:t>
      </w:r>
      <w:r w:rsidR="002C748B">
        <w:rPr>
          <w:rFonts w:hint="cs"/>
          <w:rtl/>
        </w:rPr>
        <w:t xml:space="preserve"> (האחד משכונת תל אל-הווא</w:t>
      </w:r>
      <w:r>
        <w:rPr>
          <w:rFonts w:hint="cs"/>
          <w:rtl/>
        </w:rPr>
        <w:t xml:space="preserve">, </w:t>
      </w:r>
      <w:r w:rsidR="002C748B">
        <w:rPr>
          <w:rFonts w:hint="cs"/>
          <w:rtl/>
        </w:rPr>
        <w:t xml:space="preserve">השני מג'באליה), ישות זרה, </w:t>
      </w:r>
      <w:r>
        <w:rPr>
          <w:rFonts w:hint="cs"/>
          <w:rtl/>
        </w:rPr>
        <w:t>עוי</w:t>
      </w:r>
      <w:r w:rsidR="009502BF">
        <w:rPr>
          <w:rFonts w:hint="cs"/>
          <w:rtl/>
        </w:rPr>
        <w:t>י</w:t>
      </w:r>
      <w:r w:rsidR="003565E0">
        <w:rPr>
          <w:rFonts w:hint="cs"/>
          <w:rtl/>
        </w:rPr>
        <w:t>נת, הנשלטת על-</w:t>
      </w:r>
      <w:r>
        <w:rPr>
          <w:rFonts w:hint="cs"/>
          <w:rtl/>
        </w:rPr>
        <w:t xml:space="preserve">ידי ארגון הטרור הרצחני חמאס. </w:t>
      </w:r>
      <w:r w:rsidR="002C748B">
        <w:rPr>
          <w:rFonts w:hint="cs"/>
          <w:rtl/>
        </w:rPr>
        <w:t xml:space="preserve">השניים </w:t>
      </w:r>
      <w:r>
        <w:rPr>
          <w:rFonts w:hint="cs"/>
          <w:rtl/>
        </w:rPr>
        <w:t>הם נתיניו של שטח אויב. במספר הזדמנויות עמד בית משפט זה על ההבדל היסודי בין המסגרת המשפ</w:t>
      </w:r>
      <w:r>
        <w:rPr>
          <w:rFonts w:hint="cs"/>
          <w:rtl/>
        </w:rPr>
        <w:t xml:space="preserve">טית החלה באזור יהודה ושומרון </w:t>
      </w:r>
      <w:r>
        <w:rPr>
          <w:rtl/>
        </w:rPr>
        <w:t>–</w:t>
      </w:r>
      <w:r>
        <w:rPr>
          <w:rFonts w:hint="cs"/>
          <w:rtl/>
        </w:rPr>
        <w:t xml:space="preserve"> ממנה ניסו העותרים לשאוב את הזכות לה הם טוענים </w:t>
      </w:r>
      <w:r>
        <w:rPr>
          <w:rtl/>
        </w:rPr>
        <w:t>–</w:t>
      </w:r>
      <w:r>
        <w:rPr>
          <w:rFonts w:hint="cs"/>
          <w:rtl/>
        </w:rPr>
        <w:t xml:space="preserve"> לבין זו החלה על רצועת עזה. </w:t>
      </w:r>
      <w:r>
        <w:rPr>
          <w:rFonts w:ascii="Century" w:hAnsi="Century" w:hint="cs"/>
          <w:sz w:val="22"/>
          <w:rtl/>
        </w:rPr>
        <w:t xml:space="preserve">נזכיר בתמצית: </w:t>
      </w:r>
      <w:r w:rsidRPr="00B0428B">
        <w:rPr>
          <w:rFonts w:ascii="Century" w:hAnsi="Century" w:hint="cs"/>
          <w:sz w:val="22"/>
          <w:rtl/>
        </w:rPr>
        <w:t>לאחר</w:t>
      </w:r>
      <w:r>
        <w:rPr>
          <w:rFonts w:ascii="Century" w:hAnsi="Century" w:hint="cs"/>
          <w:sz w:val="22"/>
          <w:rtl/>
        </w:rPr>
        <w:t xml:space="preserve"> </w:t>
      </w:r>
      <w:r w:rsidRPr="00B0428B">
        <w:rPr>
          <w:rFonts w:ascii="Century" w:hAnsi="Century" w:hint="cs"/>
          <w:sz w:val="22"/>
          <w:rtl/>
        </w:rPr>
        <w:t xml:space="preserve">יציאת </w:t>
      </w:r>
      <w:r>
        <w:rPr>
          <w:rFonts w:ascii="Century" w:hAnsi="Century" w:hint="cs"/>
          <w:sz w:val="22"/>
          <w:rtl/>
        </w:rPr>
        <w:t xml:space="preserve">כוחות </w:t>
      </w:r>
      <w:r w:rsidRPr="00B0428B">
        <w:rPr>
          <w:rFonts w:ascii="Century" w:hAnsi="Century" w:hint="cs"/>
          <w:sz w:val="22"/>
          <w:rtl/>
        </w:rPr>
        <w:t>צה"ל משטח</w:t>
      </w:r>
      <w:r>
        <w:rPr>
          <w:rFonts w:ascii="Century" w:hAnsi="Century" w:hint="cs"/>
          <w:sz w:val="22"/>
          <w:rtl/>
        </w:rPr>
        <w:t>י</w:t>
      </w:r>
      <w:r w:rsidRPr="00B0428B">
        <w:rPr>
          <w:rFonts w:ascii="Century" w:hAnsi="Century" w:hint="cs"/>
          <w:sz w:val="22"/>
          <w:rtl/>
        </w:rPr>
        <w:t xml:space="preserve"> </w:t>
      </w:r>
      <w:r>
        <w:rPr>
          <w:rFonts w:ascii="Century" w:hAnsi="Century" w:hint="cs"/>
          <w:sz w:val="22"/>
          <w:rtl/>
        </w:rPr>
        <w:t>רצועת עזה בשנת 2005</w:t>
      </w:r>
      <w:r w:rsidRPr="00B0428B">
        <w:rPr>
          <w:rFonts w:ascii="Century" w:hAnsi="Century" w:hint="cs"/>
          <w:sz w:val="22"/>
          <w:rtl/>
        </w:rPr>
        <w:t>, חדלה ישראל</w:t>
      </w:r>
      <w:r>
        <w:rPr>
          <w:rFonts w:ascii="Century" w:hAnsi="Century" w:hint="cs"/>
          <w:sz w:val="22"/>
          <w:rtl/>
        </w:rPr>
        <w:t xml:space="preserve"> לקיים בה שליטה אפקטיבית.</w:t>
      </w:r>
      <w:r>
        <w:rPr>
          <w:rFonts w:hint="cs"/>
          <w:rtl/>
        </w:rPr>
        <w:t xml:space="preserve"> מדינת ישראל </w:t>
      </w:r>
      <w:r w:rsidR="009502BF">
        <w:rPr>
          <w:rFonts w:hint="cs"/>
          <w:rtl/>
        </w:rPr>
        <w:t xml:space="preserve">שוב </w:t>
      </w:r>
      <w:r>
        <w:rPr>
          <w:rFonts w:hint="cs"/>
          <w:rtl/>
        </w:rPr>
        <w:t>אי</w:t>
      </w:r>
      <w:r w:rsidR="009502BF">
        <w:rPr>
          <w:rFonts w:hint="cs"/>
          <w:rtl/>
        </w:rPr>
        <w:t>נ</w:t>
      </w:r>
      <w:r>
        <w:rPr>
          <w:rFonts w:hint="cs"/>
          <w:rtl/>
        </w:rPr>
        <w:t>נה מחזיקה ב</w:t>
      </w:r>
      <w:r w:rsidR="002C748B">
        <w:rPr>
          <w:rFonts w:hint="cs"/>
          <w:rtl/>
        </w:rPr>
        <w:t xml:space="preserve">רצועת עזה בנוכחות צבאית קבועה; </w:t>
      </w:r>
      <w:r>
        <w:rPr>
          <w:rFonts w:hint="cs"/>
          <w:rtl/>
        </w:rPr>
        <w:t>י</w:t>
      </w:r>
      <w:r w:rsidR="002C748B">
        <w:rPr>
          <w:rFonts w:hint="cs"/>
          <w:rtl/>
        </w:rPr>
        <w:t xml:space="preserve">שראל </w:t>
      </w:r>
      <w:r>
        <w:rPr>
          <w:rFonts w:hint="cs"/>
          <w:rtl/>
        </w:rPr>
        <w:t xml:space="preserve">לא מפעילה בה סמכויות שלטוניות; וישנו גורם שלטוני אחר במקום, שהוא בעל היכולת להפעילן. </w:t>
      </w:r>
      <w:r w:rsidRPr="00B0428B">
        <w:rPr>
          <w:rFonts w:ascii="Century" w:hAnsi="Century" w:hint="cs"/>
          <w:sz w:val="22"/>
          <w:rtl/>
        </w:rPr>
        <w:t>בהתאם</w:t>
      </w:r>
      <w:r>
        <w:rPr>
          <w:rFonts w:ascii="Century" w:hAnsi="Century" w:hint="cs"/>
          <w:sz w:val="22"/>
          <w:rtl/>
        </w:rPr>
        <w:t>,</w:t>
      </w:r>
      <w:r w:rsidRPr="00B0428B">
        <w:rPr>
          <w:rFonts w:ascii="Century" w:hAnsi="Century" w:hint="cs"/>
          <w:sz w:val="22"/>
          <w:rtl/>
        </w:rPr>
        <w:t xml:space="preserve"> באו לקיצ</w:t>
      </w:r>
      <w:r>
        <w:rPr>
          <w:rFonts w:ascii="Century" w:hAnsi="Century" w:hint="cs"/>
          <w:sz w:val="22"/>
          <w:rtl/>
        </w:rPr>
        <w:t>ן</w:t>
      </w:r>
      <w:r w:rsidRPr="00B0428B">
        <w:rPr>
          <w:rFonts w:ascii="Century" w:hAnsi="Century" w:hint="cs"/>
          <w:sz w:val="22"/>
          <w:rtl/>
        </w:rPr>
        <w:t xml:space="preserve"> החובות </w:t>
      </w:r>
      <w:r>
        <w:rPr>
          <w:rFonts w:ascii="Century" w:hAnsi="Century" w:hint="cs"/>
          <w:sz w:val="22"/>
          <w:rtl/>
        </w:rPr>
        <w:t>ה</w:t>
      </w:r>
      <w:r w:rsidR="009502BF">
        <w:rPr>
          <w:rFonts w:ascii="Century" w:hAnsi="Century" w:hint="cs"/>
          <w:sz w:val="22"/>
          <w:rtl/>
        </w:rPr>
        <w:t xml:space="preserve">מעוגנות </w:t>
      </w:r>
      <w:r>
        <w:rPr>
          <w:rFonts w:ascii="Century" w:hAnsi="Century" w:hint="cs"/>
          <w:sz w:val="22"/>
          <w:rtl/>
        </w:rPr>
        <w:t>במשפט הבינלאומי בהתאם לדיני 'התפיסה הלוחמתית' (</w:t>
      </w:r>
      <w:r w:rsidRPr="005C238C">
        <w:rPr>
          <w:rFonts w:ascii="Century" w:hAnsi="Century"/>
          <w:szCs w:val="30"/>
        </w:rPr>
        <w:t>Belligerent</w:t>
      </w:r>
      <w:r>
        <w:rPr>
          <w:rFonts w:ascii="Century" w:hAnsi="Century"/>
          <w:sz w:val="22"/>
        </w:rPr>
        <w:t xml:space="preserve"> </w:t>
      </w:r>
      <w:r w:rsidRPr="005C238C">
        <w:rPr>
          <w:rFonts w:ascii="Century" w:hAnsi="Century"/>
          <w:szCs w:val="30"/>
        </w:rPr>
        <w:t>occupation</w:t>
      </w:r>
      <w:r w:rsidRPr="00B0428B">
        <w:rPr>
          <w:rFonts w:ascii="Century" w:hAnsi="Century" w:hint="cs"/>
          <w:sz w:val="22"/>
          <w:rtl/>
        </w:rPr>
        <w:t>)</w:t>
      </w:r>
      <w:r>
        <w:rPr>
          <w:rFonts w:ascii="Century" w:hAnsi="Century" w:hint="cs"/>
          <w:sz w:val="22"/>
          <w:rtl/>
        </w:rPr>
        <w:t xml:space="preserve">, שאותן </w:t>
      </w:r>
      <w:r w:rsidRPr="00B0428B">
        <w:rPr>
          <w:rFonts w:ascii="Century" w:hAnsi="Century" w:hint="cs"/>
          <w:sz w:val="22"/>
          <w:rtl/>
        </w:rPr>
        <w:t>נטלה ישראל על עצמה</w:t>
      </w:r>
      <w:r>
        <w:rPr>
          <w:rFonts w:ascii="Century" w:hAnsi="Century" w:hint="cs"/>
          <w:sz w:val="22"/>
          <w:rtl/>
        </w:rPr>
        <w:t xml:space="preserve">. </w:t>
      </w:r>
      <w:r>
        <w:rPr>
          <w:rFonts w:hint="cs"/>
          <w:rtl/>
        </w:rPr>
        <w:t>המע</w:t>
      </w:r>
      <w:r>
        <w:rPr>
          <w:rFonts w:hint="cs"/>
          <w:rtl/>
        </w:rPr>
        <w:t xml:space="preserve">בר </w:t>
      </w:r>
      <w:r w:rsidRPr="00FD4C56">
        <w:rPr>
          <w:rFonts w:hint="cs"/>
          <w:rtl/>
        </w:rPr>
        <w:lastRenderedPageBreak/>
        <w:t xml:space="preserve">מנוכחות ביטחונית ושליטה אפקטיבית, </w:t>
      </w:r>
      <w:r>
        <w:rPr>
          <w:rFonts w:hint="cs"/>
          <w:rtl/>
        </w:rPr>
        <w:t>ל</w:t>
      </w:r>
      <w:r w:rsidRPr="00FD4C56">
        <w:rPr>
          <w:rFonts w:hint="cs"/>
          <w:rtl/>
        </w:rPr>
        <w:t>ניתוק פיזי</w:t>
      </w:r>
      <w:r>
        <w:rPr>
          <w:rFonts w:hint="cs"/>
          <w:rtl/>
        </w:rPr>
        <w:t xml:space="preserve"> משטח רצוע</w:t>
      </w:r>
      <w:r w:rsidR="009502BF">
        <w:rPr>
          <w:rFonts w:hint="cs"/>
          <w:rtl/>
        </w:rPr>
        <w:t>ת</w:t>
      </w:r>
      <w:r>
        <w:rPr>
          <w:rFonts w:hint="cs"/>
          <w:rtl/>
        </w:rPr>
        <w:t xml:space="preserve"> עזה, תורגם במישור המשפטי,</w:t>
      </w:r>
      <w:r w:rsidRPr="00FD4C56">
        <w:rPr>
          <w:rFonts w:hint="cs"/>
          <w:rtl/>
        </w:rPr>
        <w:t xml:space="preserve"> </w:t>
      </w:r>
      <w:r>
        <w:rPr>
          <w:rFonts w:hint="cs"/>
          <w:rtl/>
        </w:rPr>
        <w:t xml:space="preserve">למעבר </w:t>
      </w:r>
      <w:r w:rsidRPr="00FD4C56">
        <w:rPr>
          <w:rFonts w:hint="cs"/>
          <w:rtl/>
        </w:rPr>
        <w:t xml:space="preserve">מהפעלת דיני התפיסה הלוחמתית, להפעלת דיני המלחמה וכללי המשפט הציבורי </w:t>
      </w:r>
      <w:r>
        <w:rPr>
          <w:rFonts w:ascii="Century" w:hAnsi="Century" w:hint="cs"/>
          <w:sz w:val="22"/>
          <w:rtl/>
        </w:rPr>
        <w:t>(</w:t>
      </w:r>
      <w:r w:rsidRPr="004018A3">
        <w:rPr>
          <w:rFonts w:ascii="Century" w:hAnsi="Century" w:hint="eastAsia"/>
          <w:sz w:val="22"/>
          <w:rtl/>
        </w:rPr>
        <w:t>בג</w:t>
      </w:r>
      <w:r w:rsidRPr="004018A3">
        <w:rPr>
          <w:rFonts w:ascii="Century" w:hAnsi="Century"/>
          <w:sz w:val="22"/>
          <w:rtl/>
        </w:rPr>
        <w:t>"</w:t>
      </w:r>
      <w:r w:rsidRPr="004018A3">
        <w:rPr>
          <w:rFonts w:ascii="Century" w:hAnsi="Century" w:hint="eastAsia"/>
          <w:sz w:val="22"/>
          <w:rtl/>
        </w:rPr>
        <w:t>ץ</w:t>
      </w:r>
      <w:r w:rsidRPr="004018A3">
        <w:rPr>
          <w:rFonts w:ascii="Century" w:hAnsi="Century"/>
          <w:sz w:val="22"/>
          <w:rtl/>
        </w:rPr>
        <w:t xml:space="preserve"> 9132/07</w:t>
      </w:r>
      <w:r w:rsidRPr="00B0428B">
        <w:rPr>
          <w:rFonts w:ascii="Century" w:hAnsi="Century" w:hint="cs"/>
          <w:sz w:val="22"/>
          <w:rtl/>
        </w:rPr>
        <w:t xml:space="preserve"> </w:t>
      </w:r>
      <w:r w:rsidRPr="004018A3">
        <w:rPr>
          <w:rFonts w:ascii="Century" w:hAnsi="Century" w:cs="Miriam" w:hint="cs"/>
          <w:b/>
          <w:spacing w:val="0"/>
          <w:sz w:val="22"/>
          <w:szCs w:val="24"/>
          <w:rtl/>
        </w:rPr>
        <w:t>אלבסיוני נ' ראש הממשלה</w:t>
      </w:r>
      <w:r w:rsidRPr="00B0428B">
        <w:rPr>
          <w:rFonts w:ascii="Century" w:hAnsi="Century" w:hint="cs"/>
          <w:sz w:val="22"/>
          <w:rtl/>
        </w:rPr>
        <w:t>, פסקה 12</w:t>
      </w:r>
      <w:r w:rsidRPr="004018A3">
        <w:rPr>
          <w:rFonts w:ascii="Century" w:hAnsi="Century"/>
          <w:sz w:val="22"/>
          <w:rtl/>
        </w:rPr>
        <w:t xml:space="preserve"> </w:t>
      </w:r>
      <w:r w:rsidRPr="00B0428B">
        <w:rPr>
          <w:rFonts w:ascii="Century" w:hAnsi="Century" w:hint="cs"/>
          <w:sz w:val="22"/>
          <w:rtl/>
        </w:rPr>
        <w:t>(30.1.2008)</w:t>
      </w:r>
      <w:r>
        <w:rPr>
          <w:rFonts w:ascii="Century" w:hAnsi="Century" w:hint="cs"/>
          <w:sz w:val="22"/>
          <w:rtl/>
        </w:rPr>
        <w:t xml:space="preserve">; </w:t>
      </w:r>
      <w:r w:rsidRPr="004018A3">
        <w:rPr>
          <w:rFonts w:ascii="Century" w:hAnsi="Century"/>
          <w:sz w:val="22"/>
          <w:rtl/>
        </w:rPr>
        <w:t>ע</w:t>
      </w:r>
      <w:r>
        <w:rPr>
          <w:rFonts w:ascii="Century" w:hAnsi="Century" w:hint="cs"/>
          <w:sz w:val="22"/>
          <w:rtl/>
        </w:rPr>
        <w:t>"</w:t>
      </w:r>
      <w:r w:rsidRPr="004018A3">
        <w:rPr>
          <w:rFonts w:ascii="Century" w:hAnsi="Century"/>
          <w:sz w:val="22"/>
          <w:rtl/>
        </w:rPr>
        <w:t>א 993/19</w:t>
      </w:r>
      <w:r w:rsidRPr="004018A3">
        <w:rPr>
          <w:rFonts w:ascii="Century" w:hAnsi="Century" w:hint="cs"/>
          <w:sz w:val="22"/>
          <w:rtl/>
        </w:rPr>
        <w:t xml:space="preserve"> </w:t>
      </w:r>
      <w:r w:rsidRPr="004018A3">
        <w:rPr>
          <w:rFonts w:ascii="Century" w:hAnsi="Century" w:cs="Miriam"/>
          <w:b/>
          <w:spacing w:val="0"/>
          <w:sz w:val="22"/>
          <w:szCs w:val="24"/>
          <w:rtl/>
        </w:rPr>
        <w:t xml:space="preserve">פלוני נ' מדינת ישראל - </w:t>
      </w:r>
      <w:r w:rsidRPr="004018A3">
        <w:rPr>
          <w:rFonts w:ascii="Century" w:hAnsi="Century" w:cs="Miriam"/>
          <w:b/>
          <w:spacing w:val="0"/>
          <w:sz w:val="22"/>
          <w:szCs w:val="24"/>
          <w:rtl/>
        </w:rPr>
        <w:t>משרד הביטחון</w:t>
      </w:r>
      <w:r w:rsidRPr="004018A3">
        <w:rPr>
          <w:rFonts w:ascii="Century" w:hAnsi="Century" w:hint="cs"/>
          <w:sz w:val="22"/>
          <w:rtl/>
        </w:rPr>
        <w:t>, 31-30</w:t>
      </w:r>
      <w:r>
        <w:rPr>
          <w:rFonts w:ascii="Century" w:hAnsi="Century" w:hint="cs"/>
          <w:sz w:val="22"/>
          <w:rtl/>
        </w:rPr>
        <w:t>, 114</w:t>
      </w:r>
      <w:r w:rsidRPr="004018A3">
        <w:rPr>
          <w:rFonts w:ascii="Century" w:hAnsi="Century" w:hint="cs"/>
          <w:sz w:val="22"/>
          <w:rtl/>
        </w:rPr>
        <w:t xml:space="preserve"> </w:t>
      </w:r>
      <w:r w:rsidRPr="004018A3">
        <w:rPr>
          <w:rFonts w:ascii="Century" w:hAnsi="Century"/>
          <w:sz w:val="22"/>
          <w:rtl/>
        </w:rPr>
        <w:t>(‏5.7.2022</w:t>
      </w:r>
      <w:r>
        <w:rPr>
          <w:rtl/>
        </w:rPr>
        <w:t>)</w:t>
      </w:r>
      <w:r>
        <w:rPr>
          <w:rFonts w:ascii="Century" w:hAnsi="Century" w:hint="cs"/>
          <w:sz w:val="22"/>
          <w:rtl/>
        </w:rPr>
        <w:t xml:space="preserve">; </w:t>
      </w:r>
      <w:r w:rsidRPr="008654C3">
        <w:rPr>
          <w:rFonts w:ascii="Century" w:hAnsi="Century"/>
          <w:sz w:val="22"/>
          <w:rtl/>
        </w:rPr>
        <w:t xml:space="preserve">רועי שיינדורף וערן </w:t>
      </w:r>
      <w:r w:rsidRPr="004018A3">
        <w:rPr>
          <w:rFonts w:ascii="Century" w:hAnsi="Century" w:hint="eastAsia"/>
          <w:sz w:val="22"/>
          <w:rtl/>
        </w:rPr>
        <w:t>שמיר</w:t>
      </w:r>
      <w:r w:rsidRPr="004018A3">
        <w:rPr>
          <w:rFonts w:ascii="Century" w:hAnsi="Century"/>
          <w:sz w:val="22"/>
          <w:rtl/>
        </w:rPr>
        <w:t>-</w:t>
      </w:r>
      <w:r w:rsidRPr="004018A3">
        <w:rPr>
          <w:rFonts w:ascii="Century" w:hAnsi="Century" w:hint="eastAsia"/>
          <w:sz w:val="22"/>
          <w:rtl/>
        </w:rPr>
        <w:t>בורר</w:t>
      </w:r>
      <w:r>
        <w:rPr>
          <w:rFonts w:ascii="Century" w:hAnsi="Century" w:hint="cs"/>
          <w:sz w:val="22"/>
          <w:rtl/>
        </w:rPr>
        <w:t xml:space="preserve"> </w:t>
      </w:r>
      <w:r w:rsidRPr="004018A3">
        <w:rPr>
          <w:rFonts w:ascii="Century" w:hAnsi="Century"/>
          <w:sz w:val="22"/>
          <w:rtl/>
        </w:rPr>
        <w:t>"(</w:t>
      </w:r>
      <w:r w:rsidRPr="004018A3">
        <w:rPr>
          <w:rFonts w:ascii="Century" w:hAnsi="Century" w:hint="eastAsia"/>
          <w:sz w:val="22"/>
          <w:rtl/>
        </w:rPr>
        <w:t>היעדר</w:t>
      </w:r>
      <w:r w:rsidRPr="004018A3">
        <w:rPr>
          <w:rFonts w:ascii="Century" w:hAnsi="Century"/>
          <w:sz w:val="22"/>
          <w:rtl/>
        </w:rPr>
        <w:t xml:space="preserve">) </w:t>
      </w:r>
      <w:r w:rsidRPr="004018A3">
        <w:rPr>
          <w:rFonts w:ascii="Century" w:hAnsi="Century" w:hint="eastAsia"/>
          <w:sz w:val="22"/>
          <w:rtl/>
        </w:rPr>
        <w:t>התחולה</w:t>
      </w:r>
      <w:r w:rsidRPr="004018A3">
        <w:rPr>
          <w:rFonts w:ascii="Century" w:hAnsi="Century"/>
          <w:sz w:val="22"/>
          <w:rtl/>
        </w:rPr>
        <w:t xml:space="preserve"> </w:t>
      </w:r>
      <w:r w:rsidRPr="004018A3">
        <w:rPr>
          <w:rFonts w:ascii="Century" w:hAnsi="Century" w:hint="eastAsia"/>
          <w:sz w:val="22"/>
          <w:rtl/>
        </w:rPr>
        <w:t>של</w:t>
      </w:r>
      <w:r w:rsidRPr="004018A3">
        <w:rPr>
          <w:rFonts w:ascii="Century" w:hAnsi="Century"/>
          <w:sz w:val="22"/>
          <w:rtl/>
        </w:rPr>
        <w:t xml:space="preserve"> </w:t>
      </w:r>
      <w:r w:rsidRPr="004018A3">
        <w:rPr>
          <w:rFonts w:ascii="Century" w:hAnsi="Century" w:hint="eastAsia"/>
          <w:sz w:val="22"/>
          <w:rtl/>
        </w:rPr>
        <w:t>דיני</w:t>
      </w:r>
      <w:r w:rsidRPr="008654C3">
        <w:rPr>
          <w:rFonts w:ascii="Century" w:hAnsi="Century"/>
          <w:sz w:val="22"/>
          <w:rtl/>
        </w:rPr>
        <w:t xml:space="preserve"> התפיסה הלוחמתית באשר לרצועת עזה</w:t>
      </w:r>
      <w:r w:rsidRPr="008654C3">
        <w:rPr>
          <w:rFonts w:ascii="Century" w:hAnsi="Century" w:hint="cs"/>
          <w:sz w:val="22"/>
          <w:rtl/>
        </w:rPr>
        <w:t>"</w:t>
      </w:r>
      <w:r w:rsidRPr="008654C3">
        <w:rPr>
          <w:rFonts w:ascii="Century" w:hAnsi="Century"/>
          <w:sz w:val="22"/>
          <w:rtl/>
        </w:rPr>
        <w:t xml:space="preserve">, </w:t>
      </w:r>
      <w:r w:rsidRPr="008654C3">
        <w:rPr>
          <w:rFonts w:ascii="Century" w:hAnsi="Century" w:cs="Miriam" w:hint="eastAsia"/>
          <w:b/>
          <w:spacing w:val="0"/>
          <w:sz w:val="22"/>
          <w:szCs w:val="24"/>
          <w:rtl/>
        </w:rPr>
        <w:t>עיוני</w:t>
      </w:r>
      <w:r w:rsidRPr="008654C3">
        <w:rPr>
          <w:rFonts w:ascii="Century" w:hAnsi="Century" w:cs="Miriam"/>
          <w:b/>
          <w:spacing w:val="0"/>
          <w:sz w:val="22"/>
          <w:szCs w:val="24"/>
          <w:rtl/>
        </w:rPr>
        <w:t xml:space="preserve"> </w:t>
      </w:r>
      <w:r w:rsidRPr="008654C3">
        <w:rPr>
          <w:rFonts w:ascii="Century" w:hAnsi="Century" w:cs="Miriam" w:hint="eastAsia"/>
          <w:b/>
          <w:spacing w:val="0"/>
          <w:sz w:val="22"/>
          <w:szCs w:val="24"/>
          <w:rtl/>
        </w:rPr>
        <w:t>משפט</w:t>
      </w:r>
      <w:r w:rsidRPr="008654C3">
        <w:rPr>
          <w:rFonts w:ascii="Century" w:hAnsi="Century"/>
          <w:sz w:val="22"/>
          <w:rtl/>
        </w:rPr>
        <w:t xml:space="preserve"> </w:t>
      </w:r>
      <w:r w:rsidRPr="008654C3">
        <w:rPr>
          <w:rFonts w:ascii="Century" w:hAnsi="Century" w:hint="eastAsia"/>
          <w:sz w:val="22"/>
          <w:rtl/>
        </w:rPr>
        <w:t>מג</w:t>
      </w:r>
      <w:r w:rsidRPr="008654C3">
        <w:rPr>
          <w:rFonts w:ascii="Century" w:hAnsi="Century"/>
          <w:sz w:val="22"/>
          <w:rtl/>
        </w:rPr>
        <w:t>, 403</w:t>
      </w:r>
      <w:r>
        <w:rPr>
          <w:rFonts w:ascii="Century" w:hAnsi="Century" w:hint="cs"/>
          <w:sz w:val="22"/>
          <w:rtl/>
        </w:rPr>
        <w:t xml:space="preserve">, </w:t>
      </w:r>
      <w:r w:rsidRPr="00FD4C56">
        <w:rPr>
          <w:rFonts w:hint="cs"/>
          <w:rtl/>
        </w:rPr>
        <w:t>421-408</w:t>
      </w:r>
      <w:r w:rsidRPr="008654C3">
        <w:rPr>
          <w:rFonts w:ascii="Century" w:hAnsi="Century"/>
          <w:sz w:val="22"/>
          <w:rtl/>
        </w:rPr>
        <w:t xml:space="preserve"> (2020)</w:t>
      </w:r>
      <w:r>
        <w:rPr>
          <w:rFonts w:ascii="Century" w:hAnsi="Century" w:hint="cs"/>
          <w:sz w:val="22"/>
          <w:rtl/>
        </w:rPr>
        <w:t xml:space="preserve">). </w:t>
      </w:r>
      <w:r>
        <w:rPr>
          <w:rFonts w:hint="cs"/>
          <w:rtl/>
        </w:rPr>
        <w:t xml:space="preserve">אציין עוד, כי בשנת 2007, בעקבות השתלטותו האלימה של ארגון הטרור חמאס על רצועת עזה, והתגברות פעולות הטרור העוינות נגד ישראל ואזרחיה, הכריזה ועדת השרים לענייני ביטחון לאומי, ביום 19.9.2007, על רצועת עזה </w:t>
      </w:r>
      <w:r w:rsidRPr="00C86FBD">
        <w:rPr>
          <w:rFonts w:ascii="Century" w:hAnsi="Century" w:hint="eastAsia"/>
          <w:sz w:val="22"/>
          <w:rtl/>
        </w:rPr>
        <w:t>כעל</w:t>
      </w:r>
      <w:r w:rsidRPr="00C86FBD">
        <w:rPr>
          <w:rFonts w:ascii="Century" w:hAnsi="Century"/>
          <w:sz w:val="22"/>
          <w:rtl/>
        </w:rPr>
        <w:t xml:space="preserve"> </w:t>
      </w:r>
      <w:r>
        <w:rPr>
          <w:rFonts w:ascii="Century" w:hAnsi="Century" w:hint="cs"/>
          <w:sz w:val="22"/>
          <w:rtl/>
        </w:rPr>
        <w:t>'</w:t>
      </w:r>
      <w:r w:rsidRPr="00C86FBD">
        <w:rPr>
          <w:rFonts w:ascii="Century" w:hAnsi="Century" w:hint="cs"/>
          <w:sz w:val="22"/>
          <w:rtl/>
        </w:rPr>
        <w:t xml:space="preserve">שטח </w:t>
      </w:r>
      <w:r>
        <w:rPr>
          <w:rFonts w:ascii="Century" w:hAnsi="Century" w:hint="cs"/>
          <w:sz w:val="22"/>
          <w:rtl/>
        </w:rPr>
        <w:t>אויב'</w:t>
      </w:r>
      <w:r w:rsidRPr="00C86FBD">
        <w:rPr>
          <w:rFonts w:hint="cs"/>
          <w:rtl/>
        </w:rPr>
        <w:t xml:space="preserve"> </w:t>
      </w:r>
      <w:r>
        <w:rPr>
          <w:rFonts w:hint="cs"/>
          <w:rtl/>
        </w:rPr>
        <w:t xml:space="preserve">(החלטה ב/34 של ועדת השרים לענייני ביטחון </w:t>
      </w:r>
      <w:r>
        <w:rPr>
          <w:rFonts w:hint="cs"/>
          <w:rtl/>
        </w:rPr>
        <w:t xml:space="preserve">לאומי </w:t>
      </w:r>
      <w:r w:rsidRPr="00C86FBD">
        <w:rPr>
          <w:rtl/>
        </w:rPr>
        <w:t>"</w:t>
      </w:r>
      <w:r w:rsidRPr="00C86FBD">
        <w:rPr>
          <w:rFonts w:hint="eastAsia"/>
          <w:rtl/>
        </w:rPr>
        <w:t>מדיניות</w:t>
      </w:r>
      <w:r w:rsidRPr="00C86FBD">
        <w:rPr>
          <w:rtl/>
        </w:rPr>
        <w:t xml:space="preserve"> </w:t>
      </w:r>
      <w:r w:rsidRPr="00C86FBD">
        <w:rPr>
          <w:rFonts w:hint="eastAsia"/>
          <w:rtl/>
        </w:rPr>
        <w:t>ישראל</w:t>
      </w:r>
      <w:r w:rsidRPr="00C86FBD">
        <w:rPr>
          <w:rtl/>
        </w:rPr>
        <w:t xml:space="preserve"> </w:t>
      </w:r>
      <w:r w:rsidRPr="00C86FBD">
        <w:rPr>
          <w:rFonts w:hint="eastAsia"/>
          <w:rtl/>
        </w:rPr>
        <w:t>מול</w:t>
      </w:r>
      <w:r w:rsidRPr="00C86FBD">
        <w:rPr>
          <w:rtl/>
        </w:rPr>
        <w:t xml:space="preserve"> </w:t>
      </w:r>
      <w:r w:rsidRPr="00C86FBD">
        <w:rPr>
          <w:rFonts w:hint="eastAsia"/>
          <w:rtl/>
        </w:rPr>
        <w:t>עזה</w:t>
      </w:r>
      <w:r w:rsidRPr="00C86FBD">
        <w:rPr>
          <w:rtl/>
        </w:rPr>
        <w:t xml:space="preserve"> (</w:t>
      </w:r>
      <w:r w:rsidRPr="00C86FBD">
        <w:rPr>
          <w:rFonts w:hint="eastAsia"/>
          <w:rtl/>
        </w:rPr>
        <w:t>צבאי</w:t>
      </w:r>
      <w:r w:rsidRPr="00C86FBD">
        <w:rPr>
          <w:rtl/>
        </w:rPr>
        <w:t xml:space="preserve"> </w:t>
      </w:r>
      <w:r w:rsidRPr="00C86FBD">
        <w:rPr>
          <w:rFonts w:hint="eastAsia"/>
          <w:rtl/>
        </w:rPr>
        <w:t>ואזרחי</w:t>
      </w:r>
      <w:r w:rsidRPr="00C86FBD">
        <w:rPr>
          <w:rtl/>
        </w:rPr>
        <w:t>)"</w:t>
      </w:r>
      <w:r>
        <w:rPr>
          <w:rFonts w:hint="cs"/>
          <w:rtl/>
        </w:rPr>
        <w:t xml:space="preserve">), </w:t>
      </w:r>
      <w:r w:rsidRPr="00DE0E14">
        <w:rPr>
          <w:rtl/>
        </w:rPr>
        <w:t>לעניין סעיף 5ב(א)(1) לחוק הנזיקים האזרחיים (אחריות המדינה), התשי"ב-1952</w:t>
      </w:r>
      <w:r>
        <w:rPr>
          <w:rFonts w:hint="cs"/>
          <w:rtl/>
        </w:rPr>
        <w:t>.</w:t>
      </w:r>
    </w:p>
    <w:p w:rsidR="00E228DD" w:rsidRDefault="00E228DD" w:rsidP="006330C5">
      <w:pPr>
        <w:pStyle w:val="Ruller40"/>
        <w:spacing w:line="240" w:lineRule="auto"/>
        <w:rPr>
          <w:rtl/>
        </w:rPr>
      </w:pPr>
    </w:p>
    <w:p w:rsidR="00E228DD" w:rsidRDefault="00C8369C" w:rsidP="00454B15">
      <w:pPr>
        <w:pStyle w:val="Ruller4"/>
      </w:pPr>
      <w:r>
        <w:rPr>
          <w:rFonts w:hint="cs"/>
          <w:rtl/>
        </w:rPr>
        <w:t>המוקד</w:t>
      </w:r>
      <w:r w:rsidR="00454B15">
        <w:rPr>
          <w:rFonts w:hint="cs"/>
          <w:rtl/>
        </w:rPr>
        <w:t xml:space="preserve"> להגנת הפרט</w:t>
      </w:r>
      <w:r>
        <w:rPr>
          <w:rFonts w:hint="cs"/>
          <w:rtl/>
        </w:rPr>
        <w:t xml:space="preserve">, אם כן, לא עמד בנטל להצביע על מקור בדין, המחייב את המשיבים למסור </w:t>
      </w:r>
      <w:r w:rsidRPr="00DE0E14">
        <w:rPr>
          <w:rFonts w:ascii="Century" w:hAnsi="Century" w:cs="Miriam" w:hint="cs"/>
          <w:b/>
          <w:spacing w:val="0"/>
          <w:sz w:val="22"/>
          <w:szCs w:val="24"/>
          <w:rtl/>
        </w:rPr>
        <w:t>לו</w:t>
      </w:r>
      <w:r w:rsidR="005C238C">
        <w:rPr>
          <w:rFonts w:hint="cs"/>
          <w:rtl/>
        </w:rPr>
        <w:t xml:space="preserve"> פרטי מידע </w:t>
      </w:r>
      <w:r w:rsidR="009502BF">
        <w:rPr>
          <w:rFonts w:hint="cs"/>
          <w:rtl/>
        </w:rPr>
        <w:t xml:space="preserve">על </w:t>
      </w:r>
      <w:r w:rsidR="005C238C">
        <w:rPr>
          <w:rFonts w:hint="cs"/>
          <w:rtl/>
        </w:rPr>
        <w:t>א</w:t>
      </w:r>
      <w:r>
        <w:rPr>
          <w:rFonts w:hint="cs"/>
          <w:rtl/>
        </w:rPr>
        <w:t>ודות מקום הימצאם של תושבי עזה העצורים</w:t>
      </w:r>
      <w:r>
        <w:rPr>
          <w:rFonts w:hint="cs"/>
          <w:rtl/>
        </w:rPr>
        <w:t xml:space="preserve"> בישראל, שנעצרו אגב פעולה מלחמתית, ובפרט זו שנכפתה עלינו </w:t>
      </w:r>
      <w:r w:rsidR="00454B15">
        <w:rPr>
          <w:rFonts w:hint="cs"/>
          <w:rtl/>
        </w:rPr>
        <w:t xml:space="preserve">בנוראותיו של יום </w:t>
      </w:r>
      <w:r>
        <w:rPr>
          <w:rFonts w:hint="cs"/>
          <w:rtl/>
        </w:rPr>
        <w:t>7.10.2023.</w:t>
      </w:r>
    </w:p>
    <w:p w:rsidR="00E228DD" w:rsidRDefault="00E228DD" w:rsidP="006330C5">
      <w:pPr>
        <w:pStyle w:val="Ruller4"/>
        <w:numPr>
          <w:ilvl w:val="0"/>
          <w:numId w:val="0"/>
        </w:numPr>
        <w:spacing w:line="240" w:lineRule="auto"/>
      </w:pPr>
    </w:p>
    <w:p w:rsidR="00E228DD" w:rsidRDefault="00C8369C" w:rsidP="00E228DD">
      <w:pPr>
        <w:pStyle w:val="Ruller4"/>
        <w:rPr>
          <w:rtl/>
        </w:rPr>
      </w:pPr>
      <w:r>
        <w:rPr>
          <w:rFonts w:hint="cs"/>
          <w:rtl/>
        </w:rPr>
        <w:t xml:space="preserve">למותר להדגיש, כי אינני נזקק במסגרת זו להיבטים משפטיים אחרים של החזקת עצורים מעזה </w:t>
      </w:r>
      <w:r w:rsidRPr="00DE0E14">
        <w:rPr>
          <w:rFonts w:hint="cs"/>
          <w:rtl/>
        </w:rPr>
        <w:t>ש</w:t>
      </w:r>
      <w:r w:rsidRPr="00DE0E14">
        <w:rPr>
          <w:rtl/>
        </w:rPr>
        <w:t>נטל</w:t>
      </w:r>
      <w:r w:rsidRPr="00DE0E14">
        <w:rPr>
          <w:rFonts w:hint="cs"/>
          <w:rtl/>
        </w:rPr>
        <w:t>ו</w:t>
      </w:r>
      <w:r w:rsidRPr="00DE0E14">
        <w:rPr>
          <w:rtl/>
        </w:rPr>
        <w:t xml:space="preserve"> חלק בפעולות איבה נגד מדינת ישראל</w:t>
      </w:r>
      <w:r>
        <w:rPr>
          <w:rFonts w:hint="cs"/>
          <w:rtl/>
        </w:rPr>
        <w:t xml:space="preserve">, שאינם מענייננו כעת (ראו למשל, </w:t>
      </w:r>
      <w:r w:rsidRPr="00345373">
        <w:rPr>
          <w:rtl/>
        </w:rPr>
        <w:t xml:space="preserve">חוק כליאתם של </w:t>
      </w:r>
      <w:r w:rsidRPr="00345373">
        <w:rPr>
          <w:rtl/>
        </w:rPr>
        <w:t>לוחמים בלתי חוקיים, תשס"ב-2002</w:t>
      </w:r>
      <w:r w:rsidRPr="00345373">
        <w:rPr>
          <w:rFonts w:hint="cs"/>
          <w:rtl/>
        </w:rPr>
        <w:t>, והתקנות שהותקנו מכוחו)</w:t>
      </w:r>
      <w:r>
        <w:rPr>
          <w:rFonts w:hint="cs"/>
          <w:rtl/>
        </w:rPr>
        <w:t>.</w:t>
      </w:r>
    </w:p>
    <w:p w:rsidR="00E228DD" w:rsidRPr="005A4643" w:rsidRDefault="00E228DD" w:rsidP="006330C5">
      <w:pPr>
        <w:pStyle w:val="Ruller40"/>
        <w:spacing w:line="240" w:lineRule="auto"/>
      </w:pPr>
    </w:p>
    <w:p w:rsidR="00E228DD" w:rsidRPr="00EA378F" w:rsidRDefault="00C8369C" w:rsidP="00454B15">
      <w:pPr>
        <w:pStyle w:val="Ruller4"/>
      </w:pPr>
      <w:r>
        <w:rPr>
          <w:rFonts w:hint="cs"/>
          <w:rtl/>
        </w:rPr>
        <w:t xml:space="preserve">אכן, בהליכים קודמים (עניין </w:t>
      </w:r>
      <w:r w:rsidRPr="00C508CD">
        <w:rPr>
          <w:rFonts w:ascii="Century" w:hAnsi="Century" w:cs="Miriam" w:hint="cs"/>
          <w:b/>
          <w:spacing w:val="0"/>
          <w:sz w:val="22"/>
          <w:szCs w:val="24"/>
          <w:rtl/>
        </w:rPr>
        <w:t>המוקד להגנת הפרט</w:t>
      </w:r>
      <w:r w:rsidR="00454B15">
        <w:rPr>
          <w:rFonts w:hint="cs"/>
          <w:rtl/>
        </w:rPr>
        <w:t xml:space="preserve"> (4.8.2014)</w:t>
      </w:r>
      <w:r>
        <w:rPr>
          <w:rFonts w:hint="cs"/>
          <w:rtl/>
        </w:rPr>
        <w:t xml:space="preserve">; עניין </w:t>
      </w:r>
      <w:r w:rsidRPr="00FD0873">
        <w:rPr>
          <w:rFonts w:ascii="Century" w:hAnsi="Century" w:cs="Miriam" w:hint="cs"/>
          <w:b/>
          <w:spacing w:val="0"/>
          <w:sz w:val="22"/>
          <w:szCs w:val="24"/>
          <w:rtl/>
        </w:rPr>
        <w:t>אבו רידה</w:t>
      </w:r>
      <w:r>
        <w:rPr>
          <w:rFonts w:hint="cs"/>
          <w:rtl/>
        </w:rPr>
        <w:t>),</w:t>
      </w:r>
      <w:r w:rsidR="00D81945">
        <w:rPr>
          <w:rFonts w:hint="cs"/>
          <w:rtl/>
        </w:rPr>
        <w:t xml:space="preserve"> שנ</w:t>
      </w:r>
      <w:r>
        <w:rPr>
          <w:rFonts w:hint="cs"/>
          <w:rtl/>
        </w:rPr>
        <w:t>דונו כאמור סביב מבצע 'צוק איתן', הביעה המדינה נכונות לאפשר פנייה פרטנית למשל"ט הכליאה, בנוגע לעצורים שנעצרו במסגרת פעולה מלח</w:t>
      </w:r>
      <w:r>
        <w:rPr>
          <w:rFonts w:hint="cs"/>
          <w:rtl/>
        </w:rPr>
        <w:t>מתית של ישראל בעזה, וזאת על</w:t>
      </w:r>
      <w:r w:rsidR="003565E0">
        <w:rPr>
          <w:rFonts w:hint="cs"/>
          <w:rtl/>
        </w:rPr>
        <w:t>-</w:t>
      </w:r>
      <w:r>
        <w:rPr>
          <w:rFonts w:hint="cs"/>
          <w:rtl/>
        </w:rPr>
        <w:t xml:space="preserve">ידי </w:t>
      </w:r>
      <w:r w:rsidRPr="005D48B6">
        <w:rPr>
          <w:rFonts w:ascii="Century" w:hAnsi="Century" w:cs="Miriam" w:hint="cs"/>
          <w:b/>
          <w:spacing w:val="0"/>
          <w:sz w:val="22"/>
          <w:szCs w:val="24"/>
          <w:rtl/>
        </w:rPr>
        <w:t>קרובי משפחה</w:t>
      </w:r>
      <w:r w:rsidRPr="005D48B6">
        <w:rPr>
          <w:rFonts w:hint="cs"/>
          <w:rtl/>
        </w:rPr>
        <w:t xml:space="preserve"> </w:t>
      </w:r>
      <w:r>
        <w:rPr>
          <w:rFonts w:hint="cs"/>
          <w:rtl/>
        </w:rPr>
        <w:t xml:space="preserve">של העצורים בלבד, ובכפוף להוכחת זיקתם זו. אפשרות זו, הודגש בשעתו, ניתנה </w:t>
      </w:r>
      <w:r w:rsidRPr="005D48B6">
        <w:rPr>
          <w:rFonts w:ascii="Century" w:hAnsi="Century" w:cs="Miriam" w:hint="cs"/>
          <w:b/>
          <w:spacing w:val="0"/>
          <w:sz w:val="22"/>
          <w:szCs w:val="24"/>
          <w:u w:val="single"/>
          <w:rtl/>
        </w:rPr>
        <w:t>לפנים משורת הדין</w:t>
      </w:r>
      <w:r>
        <w:rPr>
          <w:rFonts w:hint="cs"/>
          <w:rtl/>
        </w:rPr>
        <w:t>, תוך שהובהר כי אין בה</w:t>
      </w:r>
      <w:r w:rsidRPr="00DE0E14">
        <w:rPr>
          <w:rFonts w:ascii="Century" w:hAnsi="Century" w:hint="cs"/>
          <w:sz w:val="22"/>
          <w:rtl/>
        </w:rPr>
        <w:t xml:space="preserve"> כדי להוות התחייבות </w:t>
      </w:r>
      <w:r w:rsidR="00D81945">
        <w:rPr>
          <w:rFonts w:ascii="Century" w:hAnsi="Century" w:hint="cs"/>
          <w:sz w:val="22"/>
          <w:rtl/>
        </w:rPr>
        <w:t xml:space="preserve">כלשהי </w:t>
      </w:r>
      <w:r w:rsidRPr="00DE0E14">
        <w:rPr>
          <w:rFonts w:ascii="Century" w:hAnsi="Century" w:hint="cs"/>
          <w:sz w:val="22"/>
          <w:rtl/>
        </w:rPr>
        <w:t>להתנהלות דומה במצבי לחימה עתידיים, בעזה או</w:t>
      </w:r>
      <w:r w:rsidRPr="00DE0E14">
        <w:rPr>
          <w:rFonts w:hint="cs"/>
          <w:rtl/>
        </w:rPr>
        <w:t xml:space="preserve"> </w:t>
      </w:r>
      <w:r w:rsidRPr="00EA378F">
        <w:rPr>
          <w:rFonts w:hint="cs"/>
          <w:rtl/>
        </w:rPr>
        <w:t>בכל טריטוריה עוי</w:t>
      </w:r>
      <w:r w:rsidR="00454B15">
        <w:rPr>
          <w:rFonts w:hint="cs"/>
          <w:rtl/>
        </w:rPr>
        <w:t>י</w:t>
      </w:r>
      <w:r w:rsidRPr="00EA378F">
        <w:rPr>
          <w:rFonts w:hint="cs"/>
          <w:rtl/>
        </w:rPr>
        <w:t xml:space="preserve">נת אחרת. אף בענין </w:t>
      </w:r>
      <w:r w:rsidRPr="00EA378F">
        <w:rPr>
          <w:rFonts w:ascii="Century" w:hAnsi="Century" w:cs="Miriam" w:hint="cs"/>
          <w:b/>
          <w:spacing w:val="0"/>
          <w:sz w:val="22"/>
          <w:szCs w:val="24"/>
          <w:rtl/>
        </w:rPr>
        <w:t>עטאר</w:t>
      </w:r>
      <w:r w:rsidR="00D81945">
        <w:rPr>
          <w:rFonts w:hint="cs"/>
          <w:rtl/>
        </w:rPr>
        <w:t>, שנ</w:t>
      </w:r>
      <w:r w:rsidRPr="00EA378F">
        <w:rPr>
          <w:rFonts w:hint="cs"/>
          <w:rtl/>
        </w:rPr>
        <w:t>דון ב</w:t>
      </w:r>
      <w:r w:rsidR="00454B15">
        <w:rPr>
          <w:rFonts w:hint="cs"/>
          <w:rtl/>
        </w:rPr>
        <w:t xml:space="preserve">מהלך </w:t>
      </w:r>
      <w:r w:rsidRPr="00EA378F">
        <w:rPr>
          <w:rFonts w:hint="cs"/>
          <w:rtl/>
        </w:rPr>
        <w:t>מבצע 'ע</w:t>
      </w:r>
      <w:r w:rsidR="002E5228">
        <w:rPr>
          <w:rFonts w:hint="cs"/>
          <w:rtl/>
        </w:rPr>
        <w:t>ו</w:t>
      </w:r>
      <w:r w:rsidRPr="00EA378F">
        <w:rPr>
          <w:rFonts w:hint="cs"/>
          <w:rtl/>
        </w:rPr>
        <w:t xml:space="preserve">פרת יצוקה', הצהירו המשיבים, כי </w:t>
      </w:r>
      <w:r w:rsidRPr="00EA378F">
        <w:rPr>
          <w:rFonts w:ascii="Century" w:hAnsi="Century" w:cs="Miriam" w:hint="cs"/>
          <w:b/>
          <w:spacing w:val="0"/>
          <w:sz w:val="22"/>
          <w:szCs w:val="24"/>
          <w:rtl/>
        </w:rPr>
        <w:t>"ייעשה מאמץ"</w:t>
      </w:r>
      <w:r w:rsidRPr="00EA378F">
        <w:rPr>
          <w:rFonts w:hint="cs"/>
          <w:rtl/>
        </w:rPr>
        <w:t xml:space="preserve"> למסירת שמותיהם של עצורים בלחימה בתוך 48 שעות </w:t>
      </w:r>
      <w:r w:rsidRPr="00EA378F">
        <w:rPr>
          <w:rtl/>
        </w:rPr>
        <w:t>–</w:t>
      </w:r>
      <w:r w:rsidRPr="00EA378F">
        <w:rPr>
          <w:rFonts w:hint="cs"/>
          <w:rtl/>
        </w:rPr>
        <w:t xml:space="preserve"> ק</w:t>
      </w:r>
      <w:r>
        <w:rPr>
          <w:rFonts w:hint="cs"/>
          <w:rtl/>
        </w:rPr>
        <w:t xml:space="preserve">רי, השתדלות ולא חובה, וגם זאת </w:t>
      </w:r>
      <w:r>
        <w:rPr>
          <w:rtl/>
        </w:rPr>
        <w:t>–</w:t>
      </w:r>
      <w:r>
        <w:rPr>
          <w:rFonts w:hint="cs"/>
          <w:rtl/>
        </w:rPr>
        <w:t xml:space="preserve"> </w:t>
      </w:r>
      <w:r w:rsidRPr="00EA378F">
        <w:rPr>
          <w:rFonts w:hint="cs"/>
          <w:rtl/>
        </w:rPr>
        <w:t>ברי כי יש לקר</w:t>
      </w:r>
      <w:r w:rsidR="00454B15">
        <w:rPr>
          <w:rFonts w:hint="cs"/>
          <w:rtl/>
        </w:rPr>
        <w:t>ו</w:t>
      </w:r>
      <w:r w:rsidRPr="00EA378F">
        <w:rPr>
          <w:rFonts w:hint="cs"/>
          <w:rtl/>
        </w:rPr>
        <w:t>א בכפוף לנסיבות</w:t>
      </w:r>
      <w:r>
        <w:rPr>
          <w:rFonts w:hint="cs"/>
          <w:rtl/>
        </w:rPr>
        <w:t xml:space="preserve"> הביטחוניות</w:t>
      </w:r>
      <w:r w:rsidRPr="00EA378F">
        <w:rPr>
          <w:rFonts w:hint="cs"/>
          <w:rtl/>
        </w:rPr>
        <w:t xml:space="preserve"> הפרטניות שהתקיימו ב</w:t>
      </w:r>
      <w:r w:rsidR="00D81945">
        <w:rPr>
          <w:rFonts w:hint="cs"/>
          <w:rtl/>
        </w:rPr>
        <w:t xml:space="preserve">עת ההיא. </w:t>
      </w:r>
      <w:r w:rsidR="00454B15">
        <w:rPr>
          <w:rFonts w:ascii="FrankRuehl" w:hAnsi="FrankRuehl" w:hint="cs"/>
          <w:color w:val="333333"/>
          <w:sz w:val="28"/>
          <w:shd w:val="clear" w:color="auto" w:fill="FFFFFF"/>
          <w:rtl/>
        </w:rPr>
        <w:t>עוד א</w:t>
      </w:r>
      <w:r w:rsidRPr="00EA378F">
        <w:rPr>
          <w:rFonts w:ascii="FrankRuehl" w:hAnsi="FrankRuehl" w:hint="cs"/>
          <w:color w:val="333333"/>
          <w:sz w:val="28"/>
          <w:shd w:val="clear" w:color="auto" w:fill="FFFFFF"/>
          <w:rtl/>
        </w:rPr>
        <w:t xml:space="preserve">ציין, כי בפסק </w:t>
      </w:r>
      <w:r w:rsidRPr="00EA378F">
        <w:rPr>
          <w:rFonts w:ascii="FrankRuehl" w:hAnsi="FrankRuehl" w:hint="cs"/>
          <w:color w:val="333333"/>
          <w:sz w:val="28"/>
          <w:shd w:val="clear" w:color="auto" w:fill="FFFFFF"/>
          <w:rtl/>
        </w:rPr>
        <w:t xml:space="preserve">הדין שניתן בענין </w:t>
      </w:r>
      <w:r w:rsidRPr="00EA378F">
        <w:rPr>
          <w:rFonts w:ascii="Century" w:hAnsi="Century" w:cs="Miriam" w:hint="cs"/>
          <w:b/>
          <w:spacing w:val="0"/>
          <w:sz w:val="22"/>
          <w:szCs w:val="24"/>
          <w:shd w:val="clear" w:color="auto" w:fill="FFFFFF"/>
          <w:rtl/>
        </w:rPr>
        <w:t>עטאר</w:t>
      </w:r>
      <w:r w:rsidRPr="00EA378F">
        <w:rPr>
          <w:rFonts w:ascii="FrankRuehl" w:hAnsi="FrankRuehl" w:hint="cs"/>
          <w:color w:val="333333"/>
          <w:sz w:val="28"/>
          <w:shd w:val="clear" w:color="auto" w:fill="FFFFFF"/>
          <w:rtl/>
        </w:rPr>
        <w:t>, הבהיר בי</w:t>
      </w:r>
      <w:r w:rsidR="00C24BDE">
        <w:rPr>
          <w:rFonts w:ascii="FrankRuehl" w:hAnsi="FrankRuehl" w:hint="cs"/>
          <w:color w:val="333333"/>
          <w:sz w:val="28"/>
          <w:shd w:val="clear" w:color="auto" w:fill="FFFFFF"/>
          <w:rtl/>
        </w:rPr>
        <w:t>ת</w:t>
      </w:r>
      <w:r w:rsidR="00454B15">
        <w:rPr>
          <w:rFonts w:ascii="FrankRuehl" w:hAnsi="FrankRuehl" w:hint="cs"/>
          <w:color w:val="333333"/>
          <w:sz w:val="28"/>
          <w:shd w:val="clear" w:color="auto" w:fill="FFFFFF"/>
          <w:rtl/>
        </w:rPr>
        <w:t xml:space="preserve"> משפט זה, </w:t>
      </w:r>
      <w:r w:rsidRPr="00EA378F">
        <w:rPr>
          <w:rFonts w:ascii="FrankRuehl" w:hAnsi="FrankRuehl" w:hint="cs"/>
          <w:color w:val="333333"/>
          <w:sz w:val="28"/>
          <w:shd w:val="clear" w:color="auto" w:fill="FFFFFF"/>
          <w:rtl/>
        </w:rPr>
        <w:t xml:space="preserve">כי </w:t>
      </w:r>
      <w:r w:rsidRPr="00EA378F">
        <w:rPr>
          <w:rFonts w:ascii="Century" w:hAnsi="Century" w:cs="Miriam" w:hint="cs"/>
          <w:b/>
          <w:spacing w:val="0"/>
          <w:sz w:val="22"/>
          <w:szCs w:val="24"/>
          <w:shd w:val="clear" w:color="auto" w:fill="FFFFFF"/>
          <w:rtl/>
        </w:rPr>
        <w:t>"</w:t>
      </w:r>
      <w:r w:rsidRPr="00EA378F">
        <w:rPr>
          <w:rFonts w:ascii="Century" w:hAnsi="Century" w:cs="Miriam"/>
          <w:b/>
          <w:spacing w:val="0"/>
          <w:sz w:val="22"/>
          <w:szCs w:val="24"/>
          <w:shd w:val="clear" w:color="auto" w:fill="FFFFFF"/>
          <w:rtl/>
        </w:rPr>
        <w:t>אין מקום לקבוע שמידע בעניין זהותם של אלה שנתפסו בעת לחימה ימסר תוך אותה תקופת זמן המתחייבת בעת שגרה</w:t>
      </w:r>
      <w:r w:rsidRPr="00EA378F">
        <w:rPr>
          <w:rFonts w:ascii="Century" w:hAnsi="Century" w:cs="Miriam" w:hint="cs"/>
          <w:b/>
          <w:spacing w:val="0"/>
          <w:sz w:val="22"/>
          <w:szCs w:val="24"/>
          <w:rtl/>
        </w:rPr>
        <w:t>"</w:t>
      </w:r>
      <w:r>
        <w:rPr>
          <w:rFonts w:hint="cs"/>
          <w:rtl/>
        </w:rPr>
        <w:t xml:space="preserve"> (פסקה 3)</w:t>
      </w:r>
      <w:r w:rsidRPr="00EA378F">
        <w:rPr>
          <w:rFonts w:hint="cs"/>
          <w:rtl/>
        </w:rPr>
        <w:t>.</w:t>
      </w:r>
    </w:p>
    <w:p w:rsidR="00E228DD" w:rsidRDefault="00E228DD" w:rsidP="006330C5">
      <w:pPr>
        <w:pStyle w:val="Ruller4"/>
        <w:numPr>
          <w:ilvl w:val="0"/>
          <w:numId w:val="0"/>
        </w:numPr>
        <w:spacing w:line="240" w:lineRule="auto"/>
      </w:pPr>
    </w:p>
    <w:p w:rsidR="005F12E3" w:rsidRDefault="00C8369C" w:rsidP="004B2275">
      <w:pPr>
        <w:pStyle w:val="Ruller4"/>
        <w:numPr>
          <w:ilvl w:val="0"/>
          <w:numId w:val="0"/>
        </w:numPr>
        <w:rPr>
          <w:rtl/>
        </w:rPr>
      </w:pPr>
      <w:r>
        <w:rPr>
          <w:rFonts w:hint="cs"/>
          <w:rtl/>
        </w:rPr>
        <w:t>16.</w:t>
      </w:r>
      <w:r>
        <w:rPr>
          <w:rFonts w:hint="cs"/>
          <w:rtl/>
        </w:rPr>
        <w:tab/>
      </w:r>
      <w:r w:rsidR="00E228DD">
        <w:rPr>
          <w:rFonts w:hint="cs"/>
          <w:rtl/>
        </w:rPr>
        <w:t>חרף דגשים אלו, מנסים כעת העותרים להיבנות מאותה נכונות שניתנה בשעתה,</w:t>
      </w:r>
      <w:r w:rsidR="00C7183F">
        <w:rPr>
          <w:rFonts w:hint="cs"/>
          <w:rtl/>
        </w:rPr>
        <w:t xml:space="preserve"> </w:t>
      </w:r>
      <w:r w:rsidR="00C7183F" w:rsidRPr="000C4493">
        <w:rPr>
          <w:rFonts w:ascii="Century" w:hAnsi="Century" w:cs="Miriam" w:hint="cs"/>
          <w:b/>
          <w:spacing w:val="0"/>
          <w:sz w:val="22"/>
          <w:szCs w:val="24"/>
          <w:rtl/>
        </w:rPr>
        <w:t>בנסיבות שונות לחלוטין</w:t>
      </w:r>
      <w:r w:rsidR="00C7183F" w:rsidRPr="000C4493">
        <w:rPr>
          <w:rFonts w:hint="cs"/>
          <w:rtl/>
        </w:rPr>
        <w:t xml:space="preserve"> </w:t>
      </w:r>
      <w:r w:rsidR="00C7183F">
        <w:rPr>
          <w:rFonts w:hint="cs"/>
          <w:rtl/>
        </w:rPr>
        <w:t>מן המערכה הנוכחית,</w:t>
      </w:r>
      <w:r w:rsidR="00E228DD">
        <w:rPr>
          <w:rFonts w:hint="cs"/>
          <w:rtl/>
        </w:rPr>
        <w:t xml:space="preserve"> ולכבול אליה את המשיבים. </w:t>
      </w:r>
      <w:r>
        <w:rPr>
          <w:rFonts w:hint="cs"/>
          <w:rtl/>
        </w:rPr>
        <w:t xml:space="preserve">אותה נכונות, </w:t>
      </w:r>
      <w:r w:rsidR="004B2275">
        <w:rPr>
          <w:rFonts w:hint="cs"/>
          <w:rtl/>
        </w:rPr>
        <w:t>אזכיר</w:t>
      </w:r>
      <w:r w:rsidR="007B58A1">
        <w:rPr>
          <w:rFonts w:hint="cs"/>
          <w:rtl/>
        </w:rPr>
        <w:t>,</w:t>
      </w:r>
      <w:r w:rsidR="004B2275">
        <w:rPr>
          <w:rFonts w:hint="cs"/>
          <w:rtl/>
        </w:rPr>
        <w:t xml:space="preserve"> </w:t>
      </w:r>
      <w:r>
        <w:rPr>
          <w:rFonts w:hint="cs"/>
          <w:rtl/>
        </w:rPr>
        <w:t xml:space="preserve">התמקדה אך ורק בקרובי משפחתם של עצורים, ולא בצדדים שלישיים דוגמת המוקד להגנת הפרט, או </w:t>
      </w:r>
      <w:r w:rsidRPr="00FA46F5">
        <w:rPr>
          <w:rFonts w:ascii="Century" w:hAnsi="Century" w:cs="Miriam" w:hint="cs"/>
          <w:b/>
          <w:spacing w:val="0"/>
          <w:sz w:val="22"/>
          <w:szCs w:val="24"/>
          <w:rtl/>
        </w:rPr>
        <w:t>"עמית</w:t>
      </w:r>
      <w:r>
        <w:rPr>
          <w:rFonts w:ascii="Century" w:hAnsi="Century" w:cs="Miriam" w:hint="cs"/>
          <w:b/>
          <w:spacing w:val="0"/>
          <w:sz w:val="22"/>
          <w:szCs w:val="24"/>
          <w:rtl/>
        </w:rPr>
        <w:t>י</w:t>
      </w:r>
      <w:r w:rsidRPr="00FA46F5">
        <w:rPr>
          <w:rFonts w:ascii="Century" w:hAnsi="Century" w:cs="Miriam" w:hint="cs"/>
          <w:b/>
          <w:spacing w:val="0"/>
          <w:sz w:val="22"/>
          <w:szCs w:val="24"/>
          <w:rtl/>
        </w:rPr>
        <w:t>ם לעבודה"</w:t>
      </w:r>
      <w:r>
        <w:rPr>
          <w:rFonts w:hint="cs"/>
          <w:rtl/>
        </w:rPr>
        <w:t xml:space="preserve">. בשים לב לקביעתי, כי מדובר באפשרות שניתנה לפנים משורת הדין, </w:t>
      </w:r>
      <w:r w:rsidR="007B58A1">
        <w:rPr>
          <w:rFonts w:hint="cs"/>
          <w:rtl/>
        </w:rPr>
        <w:t xml:space="preserve">במצב דברים אחר, </w:t>
      </w:r>
      <w:r w:rsidR="004B2275">
        <w:rPr>
          <w:rFonts w:hint="cs"/>
          <w:rtl/>
        </w:rPr>
        <w:t>ו</w:t>
      </w:r>
      <w:r>
        <w:rPr>
          <w:rFonts w:hint="cs"/>
          <w:rtl/>
        </w:rPr>
        <w:t>אינה מעוגנת בדין ע</w:t>
      </w:r>
      <w:r>
        <w:rPr>
          <w:rFonts w:hint="cs"/>
          <w:rtl/>
        </w:rPr>
        <w:t>צמו, אי</w:t>
      </w:r>
      <w:r w:rsidR="000702C4">
        <w:rPr>
          <w:rFonts w:hint="cs"/>
          <w:rtl/>
        </w:rPr>
        <w:t>נ</w:t>
      </w:r>
      <w:r>
        <w:rPr>
          <w:rFonts w:hint="cs"/>
          <w:rtl/>
        </w:rPr>
        <w:t xml:space="preserve">ני רואה מקום להידרש לטענת העותרים, לפיה יש להרחיב את מעגל המורשים לפנות למשל"ט הכליאה, גם לגורמים שאינם בני משפחה; הידרשות כזו תהא כמגדל פורח באוויר. </w:t>
      </w:r>
    </w:p>
    <w:p w:rsidR="00E228DD" w:rsidRPr="005A4643" w:rsidRDefault="00E228DD" w:rsidP="006330C5">
      <w:pPr>
        <w:pStyle w:val="Ruller40"/>
        <w:spacing w:line="240" w:lineRule="auto"/>
      </w:pPr>
    </w:p>
    <w:p w:rsidR="005F12E3" w:rsidRDefault="00C8369C" w:rsidP="007B58A1">
      <w:pPr>
        <w:pStyle w:val="Ruller4"/>
        <w:numPr>
          <w:ilvl w:val="0"/>
          <w:numId w:val="0"/>
        </w:numPr>
        <w:rPr>
          <w:rtl/>
        </w:rPr>
      </w:pPr>
      <w:r>
        <w:rPr>
          <w:rFonts w:ascii="Century" w:hAnsi="Century" w:hint="cs"/>
          <w:sz w:val="22"/>
          <w:rtl/>
        </w:rPr>
        <w:t>17.</w:t>
      </w:r>
      <w:r>
        <w:rPr>
          <w:rFonts w:ascii="Century" w:hAnsi="Century" w:hint="cs"/>
          <w:sz w:val="22"/>
          <w:rtl/>
        </w:rPr>
        <w:tab/>
      </w:r>
      <w:r w:rsidR="00E228DD">
        <w:rPr>
          <w:rFonts w:ascii="Century" w:hAnsi="Century" w:hint="cs"/>
          <w:sz w:val="22"/>
          <w:rtl/>
        </w:rPr>
        <w:t xml:space="preserve">כפי שהעידו כבר אויבינו הקדומים, </w:t>
      </w:r>
      <w:r w:rsidR="00E228DD" w:rsidRPr="005A4643">
        <w:rPr>
          <w:rFonts w:ascii="Century" w:hAnsi="Century" w:cs="Miriam" w:hint="cs"/>
          <w:b/>
          <w:spacing w:val="0"/>
          <w:sz w:val="22"/>
          <w:szCs w:val="24"/>
          <w:rtl/>
        </w:rPr>
        <w:t>"</w:t>
      </w:r>
      <w:r w:rsidR="00E228DD">
        <w:rPr>
          <w:rFonts w:ascii="Century" w:hAnsi="Century" w:cs="Miriam" w:hint="cs"/>
          <w:b/>
          <w:spacing w:val="0"/>
          <w:sz w:val="22"/>
          <w:szCs w:val="24"/>
          <w:rtl/>
        </w:rPr>
        <w:t xml:space="preserve">הנה נא </w:t>
      </w:r>
      <w:r w:rsidR="00E228DD" w:rsidRPr="005A4643">
        <w:rPr>
          <w:rFonts w:ascii="Century" w:hAnsi="Century" w:cs="Miriam"/>
          <w:b/>
          <w:spacing w:val="0"/>
          <w:sz w:val="22"/>
          <w:szCs w:val="24"/>
          <w:rtl/>
        </w:rPr>
        <w:t>שמענו כי מלכי בית ישראל כי מלכי חסד הם</w:t>
      </w:r>
      <w:r w:rsidR="00E228DD" w:rsidRPr="005A4643">
        <w:rPr>
          <w:rFonts w:ascii="Century" w:hAnsi="Century" w:cs="Miriam" w:hint="cs"/>
          <w:b/>
          <w:spacing w:val="0"/>
          <w:sz w:val="22"/>
          <w:szCs w:val="24"/>
          <w:rtl/>
        </w:rPr>
        <w:t>"</w:t>
      </w:r>
      <w:r w:rsidR="00E228DD" w:rsidRPr="005A4643">
        <w:rPr>
          <w:rFonts w:hint="cs"/>
          <w:rtl/>
        </w:rPr>
        <w:t xml:space="preserve"> </w:t>
      </w:r>
      <w:r w:rsidR="00E228DD">
        <w:rPr>
          <w:rFonts w:hint="cs"/>
          <w:rtl/>
        </w:rPr>
        <w:t>(מלכים א כ, ל"א); האפשרות שניתנה לקרובי משפחתם של עצורים</w:t>
      </w:r>
      <w:r w:rsidR="007B58A1">
        <w:rPr>
          <w:rFonts w:hint="cs"/>
          <w:rtl/>
        </w:rPr>
        <w:t xml:space="preserve"> מרצועת עזה</w:t>
      </w:r>
      <w:r w:rsidR="00C7183F">
        <w:rPr>
          <w:rFonts w:hint="cs"/>
          <w:rtl/>
        </w:rPr>
        <w:t>, בעבר, בנסיבות שונות בתכלית,</w:t>
      </w:r>
      <w:r w:rsidR="00E228DD">
        <w:rPr>
          <w:rFonts w:hint="cs"/>
          <w:rtl/>
        </w:rPr>
        <w:t xml:space="preserve"> שנעצרו אגב עימות מזוין, לפנות לקבלת מידע</w:t>
      </w:r>
      <w:r w:rsidR="00BB40DB">
        <w:rPr>
          <w:rFonts w:hint="cs"/>
          <w:rtl/>
        </w:rPr>
        <w:t xml:space="preserve"> על </w:t>
      </w:r>
      <w:r w:rsidR="00E228DD">
        <w:rPr>
          <w:rFonts w:hint="cs"/>
          <w:rtl/>
        </w:rPr>
        <w:t xml:space="preserve">אודותם, </w:t>
      </w:r>
      <w:r w:rsidR="00C7183F">
        <w:rPr>
          <w:rFonts w:hint="cs"/>
          <w:rtl/>
        </w:rPr>
        <w:t xml:space="preserve">איננה אלא בגדר </w:t>
      </w:r>
      <w:r w:rsidR="00E228DD">
        <w:rPr>
          <w:rFonts w:hint="cs"/>
          <w:rtl/>
        </w:rPr>
        <w:t>חסד</w:t>
      </w:r>
      <w:r w:rsidR="0007725E">
        <w:rPr>
          <w:rFonts w:hint="cs"/>
          <w:rtl/>
        </w:rPr>
        <w:t>,</w:t>
      </w:r>
      <w:r w:rsidR="00454B15">
        <w:rPr>
          <w:rFonts w:hint="cs"/>
          <w:rtl/>
        </w:rPr>
        <w:t xml:space="preserve"> </w:t>
      </w:r>
      <w:r w:rsidR="00E228DD">
        <w:rPr>
          <w:rFonts w:hint="cs"/>
          <w:rtl/>
        </w:rPr>
        <w:t>לפנים משורת הדין</w:t>
      </w:r>
      <w:r w:rsidR="0007725E">
        <w:rPr>
          <w:rFonts w:hint="cs"/>
          <w:rtl/>
        </w:rPr>
        <w:t>,</w:t>
      </w:r>
      <w:r w:rsidR="00454B15">
        <w:rPr>
          <w:rFonts w:hint="cs"/>
          <w:rtl/>
        </w:rPr>
        <w:t xml:space="preserve"> </w:t>
      </w:r>
      <w:r w:rsidR="002320FF">
        <w:rPr>
          <w:rFonts w:hint="cs"/>
          <w:rtl/>
        </w:rPr>
        <w:t>המסור לש</w:t>
      </w:r>
      <w:r w:rsidR="00E228DD">
        <w:rPr>
          <w:rFonts w:hint="cs"/>
          <w:rtl/>
        </w:rPr>
        <w:t xml:space="preserve">יקול דעתם הבלעדי של גורמי הביטחון. </w:t>
      </w:r>
    </w:p>
    <w:p w:rsidR="00E228DD" w:rsidRDefault="00E228DD" w:rsidP="006330C5">
      <w:pPr>
        <w:pStyle w:val="Ruller40"/>
        <w:spacing w:line="240" w:lineRule="auto"/>
        <w:rPr>
          <w:rtl/>
        </w:rPr>
      </w:pPr>
    </w:p>
    <w:p w:rsidR="00E228DD" w:rsidRPr="007B58A1" w:rsidRDefault="00C8369C" w:rsidP="00FF30CB">
      <w:pPr>
        <w:pStyle w:val="Ruller4"/>
        <w:numPr>
          <w:ilvl w:val="0"/>
          <w:numId w:val="0"/>
        </w:numPr>
        <w:rPr>
          <w:rFonts w:ascii="Century" w:hAnsi="Century" w:cs="Miriam"/>
          <w:b/>
          <w:spacing w:val="0"/>
          <w:sz w:val="22"/>
          <w:szCs w:val="24"/>
          <w:rtl/>
        </w:rPr>
      </w:pPr>
      <w:r>
        <w:rPr>
          <w:rFonts w:hint="cs"/>
          <w:rtl/>
        </w:rPr>
        <w:t>18.</w:t>
      </w:r>
      <w:r>
        <w:rPr>
          <w:rFonts w:hint="cs"/>
          <w:rtl/>
        </w:rPr>
        <w:tab/>
        <w:t>גם בקשת העותרים, לחייב את המשיבי</w:t>
      </w:r>
      <w:r>
        <w:rPr>
          <w:rFonts w:hint="cs"/>
          <w:rtl/>
        </w:rPr>
        <w:t xml:space="preserve">ם להחזיק בידיהם </w:t>
      </w:r>
      <w:r w:rsidRPr="005D48B6">
        <w:rPr>
          <w:rFonts w:ascii="Century" w:hAnsi="Century" w:cs="Miriam" w:hint="cs"/>
          <w:b/>
          <w:spacing w:val="0"/>
          <w:szCs w:val="24"/>
          <w:rtl/>
        </w:rPr>
        <w:t>"מידע עדכני בדבר מעצרו ומקום מעצרו של כל עצור תושב רצועת עזה שנעצר במהלך המלחמה"</w:t>
      </w:r>
      <w:r w:rsidRPr="00C508CD">
        <w:rPr>
          <w:rFonts w:hint="cs"/>
          <w:rtl/>
        </w:rPr>
        <w:t xml:space="preserve">, ובפרט ביחס לעותרים 2-1 </w:t>
      </w:r>
      <w:r w:rsidRPr="00C508CD">
        <w:rPr>
          <w:rtl/>
        </w:rPr>
        <w:t>–</w:t>
      </w:r>
      <w:r w:rsidRPr="00C508CD">
        <w:rPr>
          <w:rFonts w:hint="cs"/>
          <w:rtl/>
        </w:rPr>
        <w:t xml:space="preserve"> </w:t>
      </w:r>
      <w:r>
        <w:rPr>
          <w:rFonts w:hint="cs"/>
          <w:rtl/>
        </w:rPr>
        <w:t>אין לה מקום, ודינה להידחות.</w:t>
      </w:r>
      <w:r w:rsidRPr="00C508CD">
        <w:rPr>
          <w:rFonts w:hint="cs"/>
          <w:rtl/>
        </w:rPr>
        <w:t xml:space="preserve"> </w:t>
      </w:r>
      <w:r>
        <w:rPr>
          <w:rFonts w:hint="cs"/>
          <w:rtl/>
        </w:rPr>
        <w:t xml:space="preserve">העותרים לא </w:t>
      </w:r>
      <w:r w:rsidRPr="00C508CD">
        <w:rPr>
          <w:rFonts w:hint="cs"/>
          <w:rtl/>
        </w:rPr>
        <w:t xml:space="preserve">טרחו </w:t>
      </w:r>
      <w:r>
        <w:rPr>
          <w:rFonts w:hint="cs"/>
          <w:rtl/>
        </w:rPr>
        <w:t xml:space="preserve">לבסס תשתית עובדתית כלשהי אשר יש בה </w:t>
      </w:r>
      <w:r w:rsidR="005E5BF6">
        <w:rPr>
          <w:rFonts w:hint="cs"/>
          <w:rtl/>
        </w:rPr>
        <w:t xml:space="preserve">כדי </w:t>
      </w:r>
      <w:r>
        <w:rPr>
          <w:rFonts w:hint="cs"/>
          <w:rtl/>
        </w:rPr>
        <w:t xml:space="preserve">להוליך למסקנה </w:t>
      </w:r>
      <w:r>
        <w:rPr>
          <w:rtl/>
        </w:rPr>
        <w:t>–</w:t>
      </w:r>
      <w:r>
        <w:rPr>
          <w:rFonts w:hint="cs"/>
          <w:rtl/>
        </w:rPr>
        <w:t xml:space="preserve"> או למצער, לעורר חשד </w:t>
      </w:r>
      <w:r>
        <w:rPr>
          <w:rtl/>
        </w:rPr>
        <w:t>–</w:t>
      </w:r>
      <w:r>
        <w:rPr>
          <w:rFonts w:hint="cs"/>
          <w:rtl/>
        </w:rPr>
        <w:t xml:space="preserve"> כי</w:t>
      </w:r>
      <w:r w:rsidRPr="00C508CD">
        <w:rPr>
          <w:rFonts w:hint="cs"/>
          <w:rtl/>
        </w:rPr>
        <w:t xml:space="preserve"> </w:t>
      </w:r>
      <w:r>
        <w:rPr>
          <w:rFonts w:hint="cs"/>
          <w:rtl/>
        </w:rPr>
        <w:t xml:space="preserve">תיעוד מעין זה אינו </w:t>
      </w:r>
      <w:r w:rsidR="00022D51">
        <w:rPr>
          <w:rFonts w:hint="cs"/>
          <w:rtl/>
        </w:rPr>
        <w:t>בנמצא</w:t>
      </w:r>
      <w:r>
        <w:rPr>
          <w:rFonts w:hint="cs"/>
          <w:rtl/>
        </w:rPr>
        <w:t xml:space="preserve">, לא בכלל ולא בפרט. </w:t>
      </w:r>
      <w:r w:rsidR="007B58A1">
        <w:rPr>
          <w:rFonts w:hint="cs"/>
          <w:rtl/>
        </w:rPr>
        <w:t xml:space="preserve">אדרבה: </w:t>
      </w:r>
      <w:r w:rsidR="00FF30CB">
        <w:rPr>
          <w:rFonts w:hint="cs"/>
          <w:rtl/>
        </w:rPr>
        <w:t xml:space="preserve">כאמור בתגובת המשיבים, הובהר עוד בשעתו, </w:t>
      </w:r>
      <w:r w:rsidR="007B58A1">
        <w:rPr>
          <w:rFonts w:hint="cs"/>
          <w:rtl/>
        </w:rPr>
        <w:t>בתגובה לעתירת המוקד להגנת הפרט משנת 2014</w:t>
      </w:r>
      <w:r w:rsidR="00FF30CB">
        <w:rPr>
          <w:rFonts w:hint="cs"/>
          <w:rtl/>
        </w:rPr>
        <w:t xml:space="preserve"> </w:t>
      </w:r>
      <w:r w:rsidR="00FF30CB">
        <w:rPr>
          <w:rtl/>
        </w:rPr>
        <w:t>–</w:t>
      </w:r>
      <w:r w:rsidR="00FF30CB">
        <w:rPr>
          <w:rFonts w:hint="cs"/>
          <w:rtl/>
        </w:rPr>
        <w:t xml:space="preserve"> </w:t>
      </w:r>
      <w:r w:rsidR="007B58A1" w:rsidRPr="007B58A1">
        <w:rPr>
          <w:rFonts w:ascii="Century" w:hAnsi="Century" w:cs="Miriam" w:hint="cs"/>
          <w:b/>
          <w:spacing w:val="0"/>
          <w:sz w:val="22"/>
          <w:szCs w:val="24"/>
          <w:rtl/>
        </w:rPr>
        <w:t>"כי כעניין שבשגרה</w:t>
      </w:r>
      <w:r w:rsidR="007B58A1">
        <w:rPr>
          <w:rFonts w:ascii="Century" w:hAnsi="Century" w:cs="Miriam" w:hint="cs"/>
          <w:b/>
          <w:spacing w:val="0"/>
          <w:sz w:val="22"/>
          <w:szCs w:val="24"/>
          <w:rtl/>
        </w:rPr>
        <w:t xml:space="preserve">, במתקני מעצר שמפעילות רשויות המדינה מבוצע רישום של כלל העצורים המוחזקים בהם, לרבות עצורים </w:t>
      </w:r>
      <w:r w:rsidR="00CE7225">
        <w:rPr>
          <w:rFonts w:ascii="Century" w:hAnsi="Century" w:cs="Miriam" w:hint="cs"/>
          <w:b/>
          <w:spacing w:val="0"/>
          <w:sz w:val="22"/>
          <w:szCs w:val="24"/>
          <w:rtl/>
        </w:rPr>
        <w:t xml:space="preserve">תושבי </w:t>
      </w:r>
      <w:r w:rsidR="007B58A1">
        <w:rPr>
          <w:rFonts w:ascii="Century" w:hAnsi="Century" w:cs="Miriam" w:hint="cs"/>
          <w:b/>
          <w:spacing w:val="0"/>
          <w:sz w:val="22"/>
          <w:szCs w:val="24"/>
          <w:rtl/>
        </w:rPr>
        <w:t xml:space="preserve">רצועת עזה </w:t>
      </w:r>
      <w:r w:rsidR="00CE7225">
        <w:rPr>
          <w:rFonts w:ascii="Century" w:hAnsi="Century" w:cs="Miriam" w:hint="cs"/>
          <w:b/>
          <w:spacing w:val="0"/>
          <w:sz w:val="22"/>
          <w:szCs w:val="24"/>
          <w:rtl/>
        </w:rPr>
        <w:t>שהובאו אליהם במהלך המבצע"</w:t>
      </w:r>
      <w:r w:rsidR="00CE7225" w:rsidRPr="00FF30CB">
        <w:rPr>
          <w:rFonts w:ascii="Century" w:hAnsi="Century" w:hint="cs"/>
          <w:sz w:val="22"/>
          <w:rtl/>
        </w:rPr>
        <w:t>.</w:t>
      </w:r>
      <w:r w:rsidR="00CE7225">
        <w:rPr>
          <w:rFonts w:ascii="Century" w:hAnsi="Century" w:cs="Miriam" w:hint="cs"/>
          <w:b/>
          <w:spacing w:val="0"/>
          <w:sz w:val="22"/>
          <w:szCs w:val="24"/>
          <w:rtl/>
        </w:rPr>
        <w:t xml:space="preserve"> </w:t>
      </w:r>
      <w:r w:rsidR="00FF30CB">
        <w:rPr>
          <w:rFonts w:ascii="Century" w:hAnsi="Century" w:hint="cs"/>
          <w:sz w:val="22"/>
          <w:rtl/>
        </w:rPr>
        <w:t>ד</w:t>
      </w:r>
      <w:r w:rsidR="005E5BF6" w:rsidRPr="005E5BF6">
        <w:rPr>
          <w:rFonts w:ascii="Century" w:hAnsi="Century" w:hint="cs"/>
          <w:sz w:val="22"/>
          <w:rtl/>
        </w:rPr>
        <w:t>יינו בכך.</w:t>
      </w:r>
    </w:p>
    <w:p w:rsidR="00E228DD" w:rsidRDefault="00E228DD" w:rsidP="00E228DD">
      <w:pPr>
        <w:pStyle w:val="Ruller40"/>
        <w:rPr>
          <w:rtl/>
        </w:rPr>
      </w:pPr>
    </w:p>
    <w:p w:rsidR="00E228DD" w:rsidRPr="004018A3" w:rsidRDefault="00C8369C" w:rsidP="005F12E3">
      <w:pPr>
        <w:pStyle w:val="Ruller4"/>
        <w:numPr>
          <w:ilvl w:val="0"/>
          <w:numId w:val="0"/>
        </w:numPr>
      </w:pPr>
      <w:r>
        <w:rPr>
          <w:rFonts w:hint="cs"/>
          <w:rtl/>
        </w:rPr>
        <w:t>19.</w:t>
      </w:r>
      <w:r w:rsidR="00022D51">
        <w:rPr>
          <w:rFonts w:hint="cs"/>
          <w:rtl/>
        </w:rPr>
        <w:tab/>
      </w:r>
      <w:r w:rsidR="00040BD8">
        <w:rPr>
          <w:rFonts w:hint="cs"/>
          <w:rtl/>
        </w:rPr>
        <w:t xml:space="preserve">אשר על כן, דינה של העתירה להידחות. </w:t>
      </w:r>
    </w:p>
    <w:p w:rsidR="0007725E" w:rsidRDefault="00C8369C" w:rsidP="005F12E3">
      <w:pPr>
        <w:pStyle w:val="Ruller40"/>
        <w:rPr>
          <w:rtl/>
        </w:rPr>
      </w:pPr>
      <w:r>
        <w:rPr>
          <w:rtl/>
        </w:rPr>
        <w:tab/>
      </w:r>
    </w:p>
    <w:p w:rsidR="0007725E" w:rsidRDefault="00C8369C" w:rsidP="00364E72">
      <w:pPr>
        <w:pStyle w:val="Ruller40"/>
        <w:spacing w:line="480" w:lineRule="auto"/>
        <w:rPr>
          <w:rtl/>
        </w:rPr>
      </w:pPr>
      <w:r>
        <w:rPr>
          <w:rtl/>
        </w:rPr>
        <w:tab/>
      </w:r>
    </w:p>
    <w:tbl>
      <w:tblPr>
        <w:bidiVisual/>
        <w:tblW w:w="0" w:type="auto"/>
        <w:tblLook w:val="01E0" w:firstRow="1" w:lastRow="1" w:firstColumn="1" w:lastColumn="1" w:noHBand="0" w:noVBand="0"/>
      </w:tblPr>
      <w:tblGrid>
        <w:gridCol w:w="2769"/>
        <w:gridCol w:w="2769"/>
        <w:gridCol w:w="2774"/>
      </w:tblGrid>
      <w:tr w:rsidR="003E42B3">
        <w:tc>
          <w:tcPr>
            <w:tcW w:w="2842" w:type="dxa"/>
            <w:shd w:val="clear" w:color="auto" w:fill="auto"/>
          </w:tcPr>
          <w:p w:rsidR="00450915" w:rsidRDefault="00450915">
            <w:pPr>
              <w:pStyle w:val="Ruller40"/>
              <w:tabs>
                <w:tab w:val="clear" w:pos="800"/>
                <w:tab w:val="left" w:pos="3209"/>
                <w:tab w:val="left" w:pos="6753"/>
              </w:tabs>
              <w:jc w:val="left"/>
              <w:rPr>
                <w:rFonts w:ascii="Times New Roman" w:hAnsi="Times New Roman"/>
                <w:bCs/>
                <w:rtl/>
              </w:rPr>
            </w:pPr>
          </w:p>
        </w:tc>
        <w:tc>
          <w:tcPr>
            <w:tcW w:w="2843" w:type="dxa"/>
            <w:shd w:val="clear" w:color="auto" w:fill="auto"/>
          </w:tcPr>
          <w:p w:rsidR="00450915" w:rsidRDefault="00450915">
            <w:pPr>
              <w:pStyle w:val="Ruller40"/>
              <w:tabs>
                <w:tab w:val="clear" w:pos="800"/>
                <w:tab w:val="left" w:pos="3209"/>
                <w:tab w:val="left" w:pos="6753"/>
              </w:tabs>
              <w:jc w:val="center"/>
              <w:rPr>
                <w:rFonts w:ascii="Times New Roman" w:hAnsi="Times New Roman"/>
                <w:bCs/>
                <w:rtl/>
              </w:rPr>
            </w:pPr>
          </w:p>
        </w:tc>
        <w:tc>
          <w:tcPr>
            <w:tcW w:w="2843" w:type="dxa"/>
            <w:shd w:val="clear" w:color="auto" w:fill="auto"/>
          </w:tcPr>
          <w:p w:rsidR="00450915" w:rsidRPr="00A60BAF" w:rsidRDefault="00C8369C" w:rsidP="00A60BAF">
            <w:pPr>
              <w:pStyle w:val="Ruller40"/>
              <w:tabs>
                <w:tab w:val="clear" w:pos="800"/>
                <w:tab w:val="left" w:pos="3209"/>
                <w:tab w:val="left" w:pos="6753"/>
              </w:tabs>
              <w:rPr>
                <w:rFonts w:ascii="Times New Roman" w:hAnsi="Times New Roman"/>
                <w:b/>
                <w:rtl/>
              </w:rPr>
            </w:pPr>
            <w:r>
              <w:rPr>
                <w:rFonts w:ascii="Times New Roman" w:hAnsi="Times New Roman" w:hint="cs"/>
                <w:b/>
                <w:rtl/>
              </w:rPr>
              <w:t xml:space="preserve">        </w:t>
            </w:r>
            <w:r w:rsidRPr="00A60BAF">
              <w:rPr>
                <w:rFonts w:ascii="Times New Roman" w:hAnsi="Times New Roman" w:hint="cs"/>
                <w:b/>
                <w:rtl/>
              </w:rPr>
              <w:t>ש ו פ ט</w:t>
            </w:r>
          </w:p>
        </w:tc>
      </w:tr>
    </w:tbl>
    <w:p w:rsidR="00450915" w:rsidRDefault="00450915" w:rsidP="0007725E">
      <w:pPr>
        <w:pStyle w:val="Ruller40"/>
        <w:spacing w:line="240" w:lineRule="auto"/>
        <w:rPr>
          <w:rtl/>
        </w:rPr>
      </w:pPr>
    </w:p>
    <w:p w:rsidR="00450915" w:rsidRDefault="00450915" w:rsidP="0007725E">
      <w:pPr>
        <w:pStyle w:val="Ruller40"/>
        <w:spacing w:line="240" w:lineRule="auto"/>
        <w:rPr>
          <w:rtl/>
        </w:rPr>
      </w:pPr>
    </w:p>
    <w:p w:rsidR="00450915" w:rsidRDefault="00C8369C" w:rsidP="00450915">
      <w:pPr>
        <w:pStyle w:val="BODYVERDICT"/>
        <w:rPr>
          <w:rtl/>
        </w:rPr>
      </w:pPr>
      <w:r w:rsidRPr="004B2249">
        <w:rPr>
          <w:rFonts w:ascii="Century" w:hAnsi="Century" w:cs="Miriam" w:hint="cs"/>
          <w:b/>
          <w:spacing w:val="0"/>
          <w:szCs w:val="24"/>
          <w:u w:val="single"/>
          <w:rtl/>
        </w:rPr>
        <w:t>השופט</w:t>
      </w:r>
      <w:r>
        <w:rPr>
          <w:rFonts w:ascii="Century" w:hAnsi="Century" w:cs="Miriam" w:hint="cs"/>
          <w:b/>
          <w:spacing w:val="0"/>
          <w:szCs w:val="24"/>
          <w:u w:val="single"/>
          <w:rtl/>
        </w:rPr>
        <w:t>ת י' וילנר</w:t>
      </w:r>
      <w:r>
        <w:rPr>
          <w:rFonts w:hint="cs"/>
          <w:rtl/>
        </w:rPr>
        <w:t>:</w:t>
      </w:r>
    </w:p>
    <w:p w:rsidR="00450915" w:rsidRDefault="00450915" w:rsidP="00450915">
      <w:pPr>
        <w:pStyle w:val="BODYVERDICT"/>
        <w:rPr>
          <w:rtl/>
        </w:rPr>
      </w:pPr>
    </w:p>
    <w:p w:rsidR="00450915" w:rsidRDefault="00C8369C" w:rsidP="00450915">
      <w:pPr>
        <w:pStyle w:val="BODYVERDICT"/>
        <w:spacing w:line="480" w:lineRule="auto"/>
        <w:ind w:firstLine="720"/>
        <w:rPr>
          <w:rtl/>
        </w:rPr>
      </w:pPr>
      <w:r>
        <w:rPr>
          <w:rFonts w:hint="cs"/>
          <w:rtl/>
        </w:rPr>
        <w:t xml:space="preserve">אני מסכימה. </w:t>
      </w:r>
    </w:p>
    <w:p w:rsidR="00450915" w:rsidRDefault="00450915" w:rsidP="00450915">
      <w:pPr>
        <w:pStyle w:val="BODYVERDICT"/>
        <w:rPr>
          <w:rtl/>
        </w:rPr>
      </w:pPr>
    </w:p>
    <w:tbl>
      <w:tblPr>
        <w:bidiVisual/>
        <w:tblW w:w="0" w:type="auto"/>
        <w:tblLook w:val="01E0" w:firstRow="1" w:lastRow="1" w:firstColumn="1" w:lastColumn="1" w:noHBand="0" w:noVBand="0"/>
      </w:tblPr>
      <w:tblGrid>
        <w:gridCol w:w="2769"/>
        <w:gridCol w:w="2769"/>
        <w:gridCol w:w="2774"/>
      </w:tblGrid>
      <w:tr w:rsidR="003E42B3">
        <w:tc>
          <w:tcPr>
            <w:tcW w:w="2842" w:type="dxa"/>
            <w:shd w:val="clear" w:color="auto" w:fill="auto"/>
          </w:tcPr>
          <w:p w:rsidR="00450915" w:rsidRDefault="00450915">
            <w:pPr>
              <w:pStyle w:val="Ruller40"/>
              <w:tabs>
                <w:tab w:val="clear" w:pos="800"/>
                <w:tab w:val="left" w:pos="3209"/>
                <w:tab w:val="left" w:pos="6753"/>
              </w:tabs>
              <w:jc w:val="left"/>
              <w:rPr>
                <w:rFonts w:ascii="Times New Roman" w:hAnsi="Times New Roman"/>
                <w:bCs/>
                <w:rtl/>
              </w:rPr>
            </w:pPr>
          </w:p>
        </w:tc>
        <w:tc>
          <w:tcPr>
            <w:tcW w:w="2843" w:type="dxa"/>
            <w:shd w:val="clear" w:color="auto" w:fill="auto"/>
          </w:tcPr>
          <w:p w:rsidR="00450915" w:rsidRDefault="00450915">
            <w:pPr>
              <w:pStyle w:val="Ruller40"/>
              <w:tabs>
                <w:tab w:val="clear" w:pos="800"/>
                <w:tab w:val="left" w:pos="3209"/>
                <w:tab w:val="left" w:pos="6753"/>
              </w:tabs>
              <w:jc w:val="center"/>
              <w:rPr>
                <w:rFonts w:ascii="Times New Roman" w:hAnsi="Times New Roman"/>
                <w:bCs/>
                <w:rtl/>
              </w:rPr>
            </w:pPr>
          </w:p>
        </w:tc>
        <w:tc>
          <w:tcPr>
            <w:tcW w:w="2843" w:type="dxa"/>
            <w:shd w:val="clear" w:color="auto" w:fill="auto"/>
          </w:tcPr>
          <w:p w:rsidR="00450915" w:rsidRPr="00A60BAF" w:rsidRDefault="00C8369C" w:rsidP="00A60BAF">
            <w:pPr>
              <w:pStyle w:val="Ruller40"/>
              <w:tabs>
                <w:tab w:val="clear" w:pos="800"/>
                <w:tab w:val="left" w:pos="3209"/>
                <w:tab w:val="left" w:pos="6753"/>
              </w:tabs>
              <w:rPr>
                <w:rFonts w:ascii="Times New Roman" w:hAnsi="Times New Roman"/>
                <w:b/>
                <w:rtl/>
              </w:rPr>
            </w:pPr>
            <w:r>
              <w:rPr>
                <w:rFonts w:ascii="Times New Roman" w:hAnsi="Times New Roman" w:hint="cs"/>
                <w:b/>
                <w:rtl/>
              </w:rPr>
              <w:t xml:space="preserve">        </w:t>
            </w:r>
            <w:r w:rsidRPr="00A60BAF">
              <w:rPr>
                <w:rFonts w:ascii="Times New Roman" w:hAnsi="Times New Roman" w:hint="cs"/>
                <w:b/>
                <w:rtl/>
              </w:rPr>
              <w:t>ש ו פ ט</w:t>
            </w:r>
            <w:r>
              <w:rPr>
                <w:rFonts w:ascii="Times New Roman" w:hAnsi="Times New Roman" w:hint="cs"/>
                <w:b/>
                <w:rtl/>
              </w:rPr>
              <w:t xml:space="preserve"> ת</w:t>
            </w:r>
          </w:p>
        </w:tc>
      </w:tr>
    </w:tbl>
    <w:p w:rsidR="00364E72" w:rsidRDefault="00364E72">
      <w:pPr>
        <w:pStyle w:val="BODYVERDICT"/>
        <w:rPr>
          <w:rFonts w:ascii="Century" w:hAnsi="Century" w:cs="Miriam"/>
          <w:b/>
          <w:spacing w:val="0"/>
          <w:szCs w:val="24"/>
          <w:u w:val="single"/>
          <w:rtl/>
        </w:rPr>
      </w:pPr>
    </w:p>
    <w:p w:rsidR="00B9590F" w:rsidRDefault="00B9590F">
      <w:pPr>
        <w:pStyle w:val="BODYVERDICT"/>
        <w:rPr>
          <w:rFonts w:ascii="Century" w:hAnsi="Century" w:cs="Miriam"/>
          <w:b/>
          <w:spacing w:val="0"/>
          <w:szCs w:val="24"/>
          <w:u w:val="single"/>
          <w:rtl/>
        </w:rPr>
      </w:pPr>
    </w:p>
    <w:p w:rsidR="00450915" w:rsidRDefault="00C8369C">
      <w:pPr>
        <w:pStyle w:val="BODYVERDICT"/>
        <w:rPr>
          <w:rFonts w:ascii="Century" w:hAnsi="Century" w:cs="Miriam"/>
          <w:b/>
          <w:spacing w:val="0"/>
          <w:szCs w:val="24"/>
          <w:rtl/>
        </w:rPr>
      </w:pPr>
      <w:r>
        <w:rPr>
          <w:rFonts w:ascii="Century" w:hAnsi="Century" w:cs="Miriam" w:hint="cs"/>
          <w:b/>
          <w:spacing w:val="0"/>
          <w:szCs w:val="24"/>
          <w:u w:val="single"/>
          <w:rtl/>
        </w:rPr>
        <w:t>השופטת ר' רונן</w:t>
      </w:r>
      <w:r>
        <w:rPr>
          <w:rFonts w:ascii="Century" w:hAnsi="Century" w:cs="Miriam" w:hint="cs"/>
          <w:b/>
          <w:spacing w:val="0"/>
          <w:szCs w:val="24"/>
          <w:rtl/>
        </w:rPr>
        <w:t>:</w:t>
      </w:r>
    </w:p>
    <w:p w:rsidR="00450915" w:rsidRDefault="00450915" w:rsidP="00B9590F">
      <w:pPr>
        <w:pStyle w:val="BODYVERDICT"/>
        <w:spacing w:line="360" w:lineRule="auto"/>
        <w:rPr>
          <w:rFonts w:ascii="Century" w:hAnsi="Century" w:cs="Miriam"/>
          <w:b/>
          <w:spacing w:val="0"/>
          <w:szCs w:val="24"/>
          <w:rtl/>
        </w:rPr>
      </w:pPr>
    </w:p>
    <w:p w:rsidR="00450915" w:rsidRDefault="00C8369C" w:rsidP="00B9590F">
      <w:pPr>
        <w:pStyle w:val="Ruller40"/>
        <w:rPr>
          <w:rtl/>
        </w:rPr>
      </w:pPr>
      <w:r>
        <w:rPr>
          <w:rtl/>
        </w:rPr>
        <w:tab/>
      </w:r>
      <w:r w:rsidR="00B9590F">
        <w:rPr>
          <w:rFonts w:ascii="Garamond" w:hAnsi="Garamond" w:hint="cs"/>
          <w:sz w:val="24"/>
          <w:rtl/>
        </w:rPr>
        <w:t>אני מסכימה.</w:t>
      </w:r>
    </w:p>
    <w:p w:rsidR="00450915" w:rsidRDefault="00450915" w:rsidP="00450915">
      <w:pPr>
        <w:pStyle w:val="Ruller40"/>
        <w:spacing w:line="480" w:lineRule="auto"/>
        <w:rPr>
          <w:rtl/>
        </w:rPr>
      </w:pPr>
    </w:p>
    <w:tbl>
      <w:tblPr>
        <w:bidiVisual/>
        <w:tblW w:w="0" w:type="auto"/>
        <w:tblLook w:val="01E0" w:firstRow="1" w:lastRow="1" w:firstColumn="1" w:lastColumn="1" w:noHBand="0" w:noVBand="0"/>
      </w:tblPr>
      <w:tblGrid>
        <w:gridCol w:w="2769"/>
        <w:gridCol w:w="2769"/>
        <w:gridCol w:w="2774"/>
      </w:tblGrid>
      <w:tr w:rsidR="003E42B3">
        <w:tc>
          <w:tcPr>
            <w:tcW w:w="2842" w:type="dxa"/>
            <w:shd w:val="clear" w:color="auto" w:fill="auto"/>
          </w:tcPr>
          <w:p w:rsidR="00450915" w:rsidRDefault="00450915">
            <w:pPr>
              <w:pStyle w:val="Ruller40"/>
              <w:tabs>
                <w:tab w:val="clear" w:pos="800"/>
                <w:tab w:val="left" w:pos="3209"/>
                <w:tab w:val="left" w:pos="6753"/>
              </w:tabs>
              <w:jc w:val="left"/>
              <w:rPr>
                <w:rFonts w:ascii="Times New Roman" w:hAnsi="Times New Roman"/>
                <w:bCs/>
                <w:rtl/>
              </w:rPr>
            </w:pPr>
          </w:p>
        </w:tc>
        <w:tc>
          <w:tcPr>
            <w:tcW w:w="2843" w:type="dxa"/>
            <w:shd w:val="clear" w:color="auto" w:fill="auto"/>
          </w:tcPr>
          <w:p w:rsidR="00450915" w:rsidRDefault="00450915">
            <w:pPr>
              <w:pStyle w:val="Ruller40"/>
              <w:tabs>
                <w:tab w:val="clear" w:pos="800"/>
                <w:tab w:val="left" w:pos="3209"/>
                <w:tab w:val="left" w:pos="6753"/>
              </w:tabs>
              <w:jc w:val="center"/>
              <w:rPr>
                <w:rFonts w:ascii="Times New Roman" w:hAnsi="Times New Roman"/>
                <w:bCs/>
                <w:rtl/>
              </w:rPr>
            </w:pPr>
          </w:p>
        </w:tc>
        <w:tc>
          <w:tcPr>
            <w:tcW w:w="2843" w:type="dxa"/>
            <w:shd w:val="clear" w:color="auto" w:fill="auto"/>
          </w:tcPr>
          <w:p w:rsidR="00450915" w:rsidRPr="00A60BAF" w:rsidRDefault="00C8369C" w:rsidP="00A60BAF">
            <w:pPr>
              <w:pStyle w:val="Ruller40"/>
              <w:tabs>
                <w:tab w:val="clear" w:pos="800"/>
                <w:tab w:val="left" w:pos="3209"/>
                <w:tab w:val="left" w:pos="6753"/>
              </w:tabs>
              <w:rPr>
                <w:rFonts w:ascii="Times New Roman" w:hAnsi="Times New Roman"/>
                <w:b/>
                <w:rtl/>
              </w:rPr>
            </w:pPr>
            <w:r>
              <w:rPr>
                <w:rFonts w:ascii="Times New Roman" w:hAnsi="Times New Roman" w:hint="cs"/>
                <w:b/>
                <w:rtl/>
              </w:rPr>
              <w:t xml:space="preserve">        </w:t>
            </w:r>
            <w:r w:rsidRPr="00A60BAF">
              <w:rPr>
                <w:rFonts w:ascii="Times New Roman" w:hAnsi="Times New Roman" w:hint="cs"/>
                <w:b/>
                <w:rtl/>
              </w:rPr>
              <w:t>ש ו פ ט</w:t>
            </w:r>
            <w:r w:rsidR="00AE323A">
              <w:rPr>
                <w:rFonts w:ascii="Times New Roman" w:hAnsi="Times New Roman" w:hint="cs"/>
                <w:b/>
                <w:rtl/>
              </w:rPr>
              <w:t xml:space="preserve"> ת</w:t>
            </w:r>
          </w:p>
        </w:tc>
      </w:tr>
    </w:tbl>
    <w:p w:rsidR="00450915" w:rsidRPr="00450915" w:rsidRDefault="00450915" w:rsidP="00450915">
      <w:pPr>
        <w:pStyle w:val="Ruller40"/>
        <w:spacing w:line="480" w:lineRule="auto"/>
        <w:rPr>
          <w:rtl/>
        </w:rPr>
      </w:pPr>
    </w:p>
    <w:p w:rsidR="00450915" w:rsidRPr="00C573AC" w:rsidRDefault="00C8369C" w:rsidP="00D4662A">
      <w:pPr>
        <w:pStyle w:val="Ruller40"/>
        <w:rPr>
          <w:rtl/>
        </w:rPr>
      </w:pPr>
      <w:r>
        <w:rPr>
          <w:rtl/>
        </w:rPr>
        <w:tab/>
      </w:r>
      <w:r>
        <w:rPr>
          <w:rFonts w:hint="cs"/>
          <w:rtl/>
        </w:rPr>
        <w:t xml:space="preserve">לפיכך הוחלט </w:t>
      </w:r>
      <w:r w:rsidR="00364E72">
        <w:rPr>
          <w:rFonts w:hint="cs"/>
          <w:rtl/>
        </w:rPr>
        <w:t xml:space="preserve">לדחות את העתירה </w:t>
      </w:r>
      <w:r>
        <w:rPr>
          <w:rFonts w:hint="cs"/>
          <w:rtl/>
        </w:rPr>
        <w:t xml:space="preserve">כאמור בפסק הדין של השופט </w:t>
      </w:r>
      <w:r w:rsidRPr="00C573AC">
        <w:rPr>
          <w:rFonts w:ascii="Century" w:hAnsi="Century" w:cs="Miriam" w:hint="cs"/>
          <w:b/>
          <w:spacing w:val="0"/>
          <w:szCs w:val="24"/>
          <w:rtl/>
        </w:rPr>
        <w:t>נעם סולברג</w:t>
      </w:r>
      <w:r>
        <w:rPr>
          <w:rFonts w:hint="cs"/>
          <w:rtl/>
        </w:rPr>
        <w:t xml:space="preserve">. </w:t>
      </w:r>
    </w:p>
    <w:p w:rsidR="00364E72" w:rsidRDefault="00C8369C" w:rsidP="00364E72">
      <w:pPr>
        <w:pStyle w:val="Ruller40"/>
        <w:spacing w:line="480" w:lineRule="auto"/>
        <w:rPr>
          <w:rtl/>
        </w:rPr>
      </w:pPr>
      <w:r>
        <w:rPr>
          <w:rFonts w:hint="cs"/>
          <w:rtl/>
        </w:rPr>
        <w:t>העותרים ישאו בהוצאות המשיבים בסך של 8,000 ₪.</w:t>
      </w:r>
    </w:p>
    <w:p w:rsidR="00450915" w:rsidRPr="00E228DD" w:rsidRDefault="00450915" w:rsidP="0007725E">
      <w:pPr>
        <w:pStyle w:val="Ruller40"/>
        <w:spacing w:line="240" w:lineRule="auto"/>
        <w:rPr>
          <w:rtl/>
        </w:rPr>
      </w:pPr>
    </w:p>
    <w:p w:rsidR="008926EC" w:rsidRDefault="00C8369C" w:rsidP="003A34CE">
      <w:pPr>
        <w:pStyle w:val="Ruller40"/>
        <w:spacing w:line="480" w:lineRule="auto"/>
        <w:rPr>
          <w:rtl/>
        </w:rPr>
      </w:pPr>
      <w:r>
        <w:rPr>
          <w:rtl/>
        </w:rPr>
        <w:tab/>
        <w:t>נית</w:t>
      </w:r>
      <w:r>
        <w:rPr>
          <w:rFonts w:hint="cs"/>
          <w:rtl/>
        </w:rPr>
        <w:t>ן</w:t>
      </w:r>
      <w:r>
        <w:rPr>
          <w:rtl/>
        </w:rPr>
        <w:t xml:space="preserve"> היום, </w:t>
      </w:r>
      <w:r>
        <w:rPr>
          <w:rFonts w:hint="eastAsia"/>
          <w:rtl/>
        </w:rPr>
        <w:t>‏ט</w:t>
      </w:r>
      <w:r w:rsidR="003A34CE">
        <w:rPr>
          <w:rtl/>
        </w:rPr>
        <w:t>"</w:t>
      </w:r>
      <w:r w:rsidR="003A34CE">
        <w:rPr>
          <w:rFonts w:hint="cs"/>
          <w:rtl/>
        </w:rPr>
        <w:t>ז</w:t>
      </w:r>
      <w:r>
        <w:rPr>
          <w:rtl/>
        </w:rPr>
        <w:t xml:space="preserve"> בחשון התשפ"ד (</w:t>
      </w:r>
      <w:r>
        <w:rPr>
          <w:rFonts w:hint="eastAsia"/>
          <w:rtl/>
        </w:rPr>
        <w:t>‏</w:t>
      </w:r>
      <w:r>
        <w:rPr>
          <w:rtl/>
        </w:rPr>
        <w:t>3</w:t>
      </w:r>
      <w:r w:rsidR="003A34CE">
        <w:rPr>
          <w:rFonts w:hint="cs"/>
          <w:rtl/>
        </w:rPr>
        <w:t>1</w:t>
      </w:r>
      <w:r>
        <w:rPr>
          <w:rtl/>
        </w:rPr>
        <w:t>.10.2023).</w:t>
      </w:r>
    </w:p>
    <w:p w:rsidR="006330C5" w:rsidRDefault="006330C5" w:rsidP="009F7F5D">
      <w:pPr>
        <w:pStyle w:val="Ruller40"/>
        <w:spacing w:line="240" w:lineRule="auto"/>
        <w:rPr>
          <w:rtl/>
        </w:rPr>
      </w:pPr>
    </w:p>
    <w:p w:rsidR="00450915" w:rsidRDefault="00450915" w:rsidP="00B9590F">
      <w:pPr>
        <w:pStyle w:val="Ruller40"/>
        <w:rPr>
          <w:rtl/>
        </w:rPr>
      </w:pPr>
    </w:p>
    <w:p w:rsidR="008926EC" w:rsidRDefault="008926EC" w:rsidP="0007725E">
      <w:pPr>
        <w:pStyle w:val="Ruller40"/>
        <w:spacing w:line="240" w:lineRule="auto"/>
        <w:rPr>
          <w:rtl/>
        </w:rPr>
      </w:pPr>
    </w:p>
    <w:tbl>
      <w:tblPr>
        <w:bidiVisual/>
        <w:tblW w:w="8363" w:type="dxa"/>
        <w:tblLook w:val="01E0" w:firstRow="1" w:lastRow="1" w:firstColumn="1" w:lastColumn="1" w:noHBand="0" w:noVBand="0"/>
      </w:tblPr>
      <w:tblGrid>
        <w:gridCol w:w="2787"/>
        <w:gridCol w:w="2788"/>
        <w:gridCol w:w="2788"/>
      </w:tblGrid>
      <w:tr w:rsidR="003E42B3" w:rsidTr="00D00B1D">
        <w:tc>
          <w:tcPr>
            <w:tcW w:w="2842" w:type="dxa"/>
            <w:shd w:val="clear" w:color="auto" w:fill="auto"/>
          </w:tcPr>
          <w:p w:rsidR="00016EF1" w:rsidRDefault="00C8369C" w:rsidP="00A51FAE">
            <w:pPr>
              <w:pStyle w:val="Ruller40"/>
              <w:rPr>
                <w:rtl/>
              </w:rPr>
            </w:pPr>
            <w:r>
              <w:rPr>
                <w:rtl/>
              </w:rPr>
              <w:t>ש ו פ ט</w:t>
            </w:r>
          </w:p>
        </w:tc>
        <w:tc>
          <w:tcPr>
            <w:tcW w:w="2843" w:type="dxa"/>
            <w:shd w:val="clear" w:color="auto" w:fill="auto"/>
          </w:tcPr>
          <w:p w:rsidR="001A0164" w:rsidRDefault="00C8369C" w:rsidP="006330C5">
            <w:pPr>
              <w:pStyle w:val="Ruller40"/>
              <w:rPr>
                <w:rtl/>
              </w:rPr>
            </w:pPr>
            <w:r>
              <w:rPr>
                <w:rFonts w:hint="cs"/>
                <w:rtl/>
              </w:rPr>
              <w:t xml:space="preserve">     </w:t>
            </w:r>
            <w:r w:rsidR="00FA08AB">
              <w:rPr>
                <w:rtl/>
              </w:rPr>
              <w:t>ש ו פ ט ת</w:t>
            </w:r>
          </w:p>
        </w:tc>
        <w:tc>
          <w:tcPr>
            <w:tcW w:w="2843" w:type="dxa"/>
            <w:shd w:val="clear" w:color="auto" w:fill="auto"/>
          </w:tcPr>
          <w:p w:rsidR="001A0164" w:rsidRDefault="00C8369C" w:rsidP="000103EA">
            <w:pPr>
              <w:pStyle w:val="Ruller40"/>
              <w:rPr>
                <w:rtl/>
              </w:rPr>
            </w:pPr>
            <w:r>
              <w:rPr>
                <w:rFonts w:hint="cs"/>
                <w:rtl/>
              </w:rPr>
              <w:t xml:space="preserve">        </w:t>
            </w:r>
            <w:r w:rsidR="00FA08AB">
              <w:rPr>
                <w:rtl/>
              </w:rPr>
              <w:t>ש ו פ ט ת</w:t>
            </w:r>
          </w:p>
        </w:tc>
      </w:tr>
    </w:tbl>
    <w:p w:rsidR="005F12E3" w:rsidRDefault="005F12E3">
      <w:pPr>
        <w:rPr>
          <w:szCs w:val="16"/>
          <w:rtl/>
        </w:rPr>
      </w:pPr>
    </w:p>
    <w:p w:rsidR="005F12E3" w:rsidRDefault="005F12E3">
      <w:pPr>
        <w:rPr>
          <w:szCs w:val="16"/>
          <w:rtl/>
        </w:rPr>
      </w:pPr>
    </w:p>
    <w:p w:rsidR="00916FF8" w:rsidRDefault="00C8369C">
      <w:pPr>
        <w:rPr>
          <w:szCs w:val="16"/>
          <w:rtl/>
        </w:rPr>
      </w:pPr>
      <w:r>
        <w:rPr>
          <w:szCs w:val="16"/>
          <w:rtl/>
        </w:rPr>
        <w:t>_________________</w:t>
      </w:r>
      <w:r w:rsidR="00A12E0F">
        <w:rPr>
          <w:rFonts w:hint="cs"/>
          <w:szCs w:val="16"/>
          <w:rtl/>
        </w:rPr>
        <w:t>________</w:t>
      </w:r>
    </w:p>
    <w:p w:rsidR="00916FF8" w:rsidRDefault="00C8369C" w:rsidP="0007725E">
      <w:pPr>
        <w:pStyle w:val="Ruller38"/>
        <w:rPr>
          <w:rtl/>
        </w:rPr>
      </w:pPr>
      <w:r>
        <w:rPr>
          <w:sz w:val="16"/>
        </w:rPr>
        <w:t xml:space="preserve"> </w:t>
      </w:r>
      <w:r w:rsidR="00A12E0F">
        <w:rPr>
          <w:sz w:val="16"/>
        </w:rPr>
        <w:t xml:space="preserve">  </w:t>
      </w:r>
      <w:r w:rsidR="00FA08AB">
        <w:rPr>
          <w:sz w:val="16"/>
        </w:rPr>
        <w:t xml:space="preserve">23074390_O05.docx   </w:t>
      </w:r>
      <w:r w:rsidR="0007725E">
        <w:rPr>
          <w:rFonts w:hint="cs"/>
          <w:sz w:val="16"/>
          <w:rtl/>
        </w:rPr>
        <w:t>עי</w:t>
      </w:r>
    </w:p>
    <w:p w:rsidR="003F1F97" w:rsidRDefault="00C8369C" w:rsidP="002F74EC">
      <w:pPr>
        <w:pStyle w:val="Ruller38"/>
        <w:rPr>
          <w:rtl/>
        </w:rPr>
      </w:pPr>
      <w:r>
        <w:rPr>
          <w:rtl/>
        </w:rPr>
        <w:t>מרכז מידע, טל'</w:t>
      </w:r>
      <w:r>
        <w:rPr>
          <w:rFonts w:hint="cs"/>
          <w:rtl/>
        </w:rPr>
        <w:t xml:space="preserve"> </w:t>
      </w:r>
      <w:r w:rsidR="00B63343">
        <w:rPr>
          <w:rFonts w:hint="cs"/>
          <w:rtl/>
        </w:rPr>
        <w:t>077</w:t>
      </w:r>
      <w:r>
        <w:rPr>
          <w:rFonts w:hint="cs"/>
          <w:rtl/>
        </w:rPr>
        <w:t>-</w:t>
      </w:r>
      <w:r w:rsidR="00B63343">
        <w:rPr>
          <w:rFonts w:hint="cs"/>
          <w:rtl/>
        </w:rPr>
        <w:t>270</w:t>
      </w:r>
      <w:r w:rsidR="00E21CA9">
        <w:rPr>
          <w:rFonts w:hint="cs"/>
          <w:rtl/>
        </w:rPr>
        <w:t>3</w:t>
      </w:r>
      <w:r w:rsidR="009B38DA">
        <w:rPr>
          <w:rFonts w:hint="cs"/>
          <w:rtl/>
        </w:rPr>
        <w:t>333</w:t>
      </w:r>
      <w:r w:rsidR="00866D0F">
        <w:rPr>
          <w:rFonts w:hint="cs"/>
          <w:rtl/>
        </w:rPr>
        <w:t>, 3852*</w:t>
      </w:r>
      <w:r>
        <w:rPr>
          <w:rFonts w:hint="cs"/>
          <w:rtl/>
        </w:rPr>
        <w:t xml:space="preserve"> ; אתר אינטרנט,  </w:t>
      </w:r>
      <w:hyperlink w:history="1">
        <w:r w:rsidR="00FC0252" w:rsidRPr="00BB4C68">
          <w:rPr>
            <w:rStyle w:val="Hyperlink"/>
            <w:sz w:val="16"/>
          </w:rPr>
          <w:t>-Hyperlink Removed-</w:t>
        </w:r>
      </w:hyperlink>
    </w:p>
    <w:sectPr w:rsidR="003F1F97" w:rsidSect="00591983">
      <w:headerReference w:type="even" r:id="rId8"/>
      <w:headerReference w:type="default" r:id="rId9"/>
      <w:footerReference w:type="even" r:id="rId10"/>
      <w:footerReference w:type="default" r:id="rId11"/>
      <w:headerReference w:type="first" r:id="rId12"/>
      <w:footerReference w:type="first" r:id="rId13"/>
      <w:endnotePr>
        <w:numFmt w:val="lowerLetter"/>
      </w:endnotePr>
      <w:pgSz w:w="11906" w:h="16838" w:code="9"/>
      <w:pgMar w:top="1134" w:right="1797" w:bottom="1440" w:left="1797" w:header="567" w:footer="397" w:gutter="0"/>
      <w:cols w:space="720"/>
      <w:titlePg/>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369C" w:rsidRDefault="00C8369C">
      <w:r>
        <w:separator/>
      </w:r>
    </w:p>
  </w:endnote>
  <w:endnote w:type="continuationSeparator" w:id="0">
    <w:p w:rsidR="00C8369C" w:rsidRDefault="00C83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Arial TUR">
    <w:altName w:val="Microsoft Sans Serif"/>
    <w:charset w:val="00"/>
    <w:family w:val="swiss"/>
    <w:pitch w:val="variable"/>
    <w:sig w:usb0="E0002EFF" w:usb1="C000785B" w:usb2="00000009" w:usb3="00000000" w:csb0="000001FF" w:csb1="00000000"/>
  </w:font>
  <w:font w:name="DavidFix">
    <w:charset w:val="B1"/>
    <w:family w:val="auto"/>
    <w:pitch w:val="variable"/>
    <w:sig w:usb0="00001801" w:usb1="00000000" w:usb2="00000000" w:usb3="00000000" w:csb0="00000020" w:csb1="00000000"/>
  </w:font>
  <w:font w:name="Guttman Yad">
    <w:panose1 w:val="02010401010101010101"/>
    <w:charset w:val="B1"/>
    <w:family w:val="auto"/>
    <w:pitch w:val="variable"/>
    <w:sig w:usb0="00000801" w:usb1="40000000" w:usb2="00000000" w:usb3="00000000" w:csb0="0000002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102" w:rsidRDefault="00C8369C">
    <w:pPr>
      <w:pStyle w:val="a3"/>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sidR="00BC0E82">
      <w:rPr>
        <w:rStyle w:val="a4"/>
        <w:noProof/>
        <w:rtl/>
      </w:rPr>
      <w:t>1</w:t>
    </w:r>
    <w:r>
      <w:rPr>
        <w:rStyle w:val="a4"/>
        <w:rtl/>
      </w:rPr>
      <w:fldChar w:fldCharType="end"/>
    </w:r>
  </w:p>
  <w:p w:rsidR="00377102" w:rsidRDefault="00377102">
    <w:pPr>
      <w:pStyle w:val="a3"/>
      <w:rPr>
        <w:rtl/>
      </w:rPr>
    </w:pPr>
  </w:p>
  <w:p w:rsidR="00377102" w:rsidRDefault="0037710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08AB" w:rsidRDefault="00FA08AB">
    <w:pPr>
      <w:pStyle w:val="a3"/>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5B4D" w:rsidRPr="00F959DB" w:rsidRDefault="00045B4D" w:rsidP="00914156">
    <w:pPr>
      <w:pStyle w:val="a3"/>
      <w:bidi w:val="0"/>
      <w:jc w:val="right"/>
      <w:rPr>
        <w:sz w:val="16"/>
        <w:szCs w:val="16"/>
      </w:rPr>
    </w:pPr>
    <w:bookmarkStart w:id="6" w:name="footer_line"/>
    <w:bookmarkEnd w:id="6"/>
  </w:p>
  <w:p w:rsidR="00045B4D" w:rsidRDefault="00045B4D">
    <w:pPr>
      <w:pStyle w:val="a3"/>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369C" w:rsidRDefault="00C8369C">
      <w:r>
        <w:separator/>
      </w:r>
    </w:p>
  </w:footnote>
  <w:footnote w:type="continuationSeparator" w:id="0">
    <w:p w:rsidR="00C8369C" w:rsidRDefault="00C836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102" w:rsidRDefault="00C8369C">
    <w:pPr>
      <w:pStyle w:val="a5"/>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sidR="00BC0E82">
      <w:rPr>
        <w:rStyle w:val="a4"/>
        <w:noProof/>
        <w:rtl/>
      </w:rPr>
      <w:t>1</w:t>
    </w:r>
    <w:r>
      <w:rPr>
        <w:rStyle w:val="a4"/>
        <w:rtl/>
      </w:rPr>
      <w:fldChar w:fldCharType="end"/>
    </w:r>
  </w:p>
  <w:p w:rsidR="00377102" w:rsidRDefault="00377102">
    <w:pPr>
      <w:pStyle w:val="a5"/>
      <w:rPr>
        <w:rtl/>
      </w:rPr>
    </w:pPr>
  </w:p>
  <w:p w:rsidR="00377102" w:rsidRDefault="0037710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102" w:rsidRDefault="00C8369C">
    <w:pPr>
      <w:pStyle w:val="a5"/>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sidR="004303C0">
      <w:rPr>
        <w:rStyle w:val="a4"/>
        <w:noProof/>
        <w:rtl/>
      </w:rPr>
      <w:t>3</w:t>
    </w:r>
    <w:r>
      <w:rPr>
        <w:rStyle w:val="a4"/>
        <w:rtl/>
      </w:rPr>
      <w:fldChar w:fldCharType="end"/>
    </w:r>
  </w:p>
  <w:p w:rsidR="00377102" w:rsidRDefault="00377102">
    <w:pPr>
      <w:pStyle w:val="a5"/>
      <w:rPr>
        <w:rtl/>
      </w:rPr>
    </w:pPr>
  </w:p>
  <w:p w:rsidR="00377102" w:rsidRDefault="00377102"/>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8363" w:type="dxa"/>
      <w:tblLook w:val="0000" w:firstRow="0" w:lastRow="0" w:firstColumn="0" w:lastColumn="0" w:noHBand="0" w:noVBand="0"/>
    </w:tblPr>
    <w:tblGrid>
      <w:gridCol w:w="8363"/>
    </w:tblGrid>
    <w:tr w:rsidR="003E42B3" w:rsidTr="00EC23AC">
      <w:trPr>
        <w:trHeight w:val="342"/>
      </w:trPr>
      <w:tc>
        <w:tcPr>
          <w:tcW w:w="9828" w:type="dxa"/>
        </w:tcPr>
        <w:p w:rsidR="00377102" w:rsidRPr="002F7BB6" w:rsidRDefault="00C8369C" w:rsidP="00045B4D">
          <w:pPr>
            <w:pStyle w:val="Casenameintextbody"/>
            <w:jc w:val="center"/>
            <w:rPr>
              <w:u w:val="none"/>
              <w:rtl/>
            </w:rPr>
          </w:pPr>
          <w:r w:rsidRPr="002F7BB6">
            <w:rPr>
              <w:noProof/>
              <w:sz w:val="16"/>
              <w:szCs w:val="18"/>
              <w:u w:val="none"/>
              <w:rtl/>
            </w:rPr>
            <w:drawing>
              <wp:inline distT="0" distB="0" distL="0" distR="0">
                <wp:extent cx="464820" cy="449580"/>
                <wp:effectExtent l="0" t="0" r="0" b="762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464820" cy="449580"/>
                        </a:xfrm>
                        <a:prstGeom prst="rect">
                          <a:avLst/>
                        </a:prstGeom>
                        <a:noFill/>
                        <a:ln>
                          <a:noFill/>
                        </a:ln>
                      </pic:spPr>
                    </pic:pic>
                  </a:graphicData>
                </a:graphic>
              </wp:inline>
            </w:drawing>
          </w:r>
        </w:p>
      </w:tc>
    </w:tr>
  </w:tbl>
  <w:p w:rsidR="00045B4D" w:rsidRDefault="00045B4D" w:rsidP="00045B4D">
    <w:pPr>
      <w:pStyle w:val="a5"/>
      <w:jc w:val="center"/>
      <w:rPr>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77A4F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B8EE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485F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83003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20465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CCE6B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10264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21A09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7046C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800B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A6001B"/>
    <w:multiLevelType w:val="hybridMultilevel"/>
    <w:tmpl w:val="0E1467C0"/>
    <w:lvl w:ilvl="0" w:tplc="C92E9BAE">
      <w:start w:val="1"/>
      <w:numFmt w:val="decimal"/>
      <w:pStyle w:val="Ruller4"/>
      <w:lvlText w:val="%1."/>
      <w:lvlJc w:val="left"/>
      <w:pPr>
        <w:tabs>
          <w:tab w:val="num" w:pos="907"/>
        </w:tabs>
        <w:ind w:left="0" w:firstLine="0"/>
      </w:pPr>
      <w:rPr>
        <w:rFonts w:hint="default"/>
        <w:lang w:bidi="he-IL"/>
      </w:rPr>
    </w:lvl>
    <w:lvl w:ilvl="1" w:tplc="D4DA3950" w:tentative="1">
      <w:start w:val="1"/>
      <w:numFmt w:val="lowerLetter"/>
      <w:lvlText w:val="%2."/>
      <w:lvlJc w:val="left"/>
      <w:pPr>
        <w:tabs>
          <w:tab w:val="num" w:pos="1440"/>
        </w:tabs>
        <w:ind w:left="1440" w:hanging="360"/>
      </w:pPr>
    </w:lvl>
    <w:lvl w:ilvl="2" w:tplc="3D542324" w:tentative="1">
      <w:start w:val="1"/>
      <w:numFmt w:val="lowerRoman"/>
      <w:lvlText w:val="%3."/>
      <w:lvlJc w:val="right"/>
      <w:pPr>
        <w:tabs>
          <w:tab w:val="num" w:pos="2160"/>
        </w:tabs>
        <w:ind w:left="2160" w:hanging="180"/>
      </w:pPr>
    </w:lvl>
    <w:lvl w:ilvl="3" w:tplc="70025E56" w:tentative="1">
      <w:start w:val="1"/>
      <w:numFmt w:val="decimal"/>
      <w:lvlText w:val="%4."/>
      <w:lvlJc w:val="left"/>
      <w:pPr>
        <w:tabs>
          <w:tab w:val="num" w:pos="2880"/>
        </w:tabs>
        <w:ind w:left="2880" w:hanging="360"/>
      </w:pPr>
    </w:lvl>
    <w:lvl w:ilvl="4" w:tplc="5EB81C24" w:tentative="1">
      <w:start w:val="1"/>
      <w:numFmt w:val="lowerLetter"/>
      <w:lvlText w:val="%5."/>
      <w:lvlJc w:val="left"/>
      <w:pPr>
        <w:tabs>
          <w:tab w:val="num" w:pos="3600"/>
        </w:tabs>
        <w:ind w:left="3600" w:hanging="360"/>
      </w:pPr>
    </w:lvl>
    <w:lvl w:ilvl="5" w:tplc="E3DC1E98" w:tentative="1">
      <w:start w:val="1"/>
      <w:numFmt w:val="lowerRoman"/>
      <w:lvlText w:val="%6."/>
      <w:lvlJc w:val="right"/>
      <w:pPr>
        <w:tabs>
          <w:tab w:val="num" w:pos="4320"/>
        </w:tabs>
        <w:ind w:left="4320" w:hanging="180"/>
      </w:pPr>
    </w:lvl>
    <w:lvl w:ilvl="6" w:tplc="26620B44" w:tentative="1">
      <w:start w:val="1"/>
      <w:numFmt w:val="decimal"/>
      <w:lvlText w:val="%7."/>
      <w:lvlJc w:val="left"/>
      <w:pPr>
        <w:tabs>
          <w:tab w:val="num" w:pos="5040"/>
        </w:tabs>
        <w:ind w:left="5040" w:hanging="360"/>
      </w:pPr>
    </w:lvl>
    <w:lvl w:ilvl="7" w:tplc="88442F3E" w:tentative="1">
      <w:start w:val="1"/>
      <w:numFmt w:val="lowerLetter"/>
      <w:lvlText w:val="%8."/>
      <w:lvlJc w:val="left"/>
      <w:pPr>
        <w:tabs>
          <w:tab w:val="num" w:pos="5760"/>
        </w:tabs>
        <w:ind w:left="5760" w:hanging="360"/>
      </w:pPr>
    </w:lvl>
    <w:lvl w:ilvl="8" w:tplc="BFF81410" w:tentative="1">
      <w:start w:val="1"/>
      <w:numFmt w:val="lowerRoman"/>
      <w:lvlText w:val="%9."/>
      <w:lvlJc w:val="right"/>
      <w:pPr>
        <w:tabs>
          <w:tab w:val="num" w:pos="6480"/>
        </w:tabs>
        <w:ind w:left="64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0"/>
  <w:defaultTabStop w:val="720"/>
  <w:drawingGridHorizontalSpacing w:val="120"/>
  <w:drawingGridVerticalSpacing w:val="120"/>
  <w:displayVerticalDrawingGridEvery w:val="0"/>
  <w:doNotUseMarginsForDrawingGridOrigin/>
  <w:doNotShadeFormData/>
  <w:noPunctuationKerning/>
  <w:characterSpacingControl w:val="doNotCompress"/>
  <w:footnotePr>
    <w:footnote w:id="-1"/>
    <w:footnote w:id="0"/>
  </w:footnotePr>
  <w:endnotePr>
    <w:numFmt w:val="lowerLette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227"/>
    <w:rsid w:val="000103EA"/>
    <w:rsid w:val="00016EF1"/>
    <w:rsid w:val="00022D51"/>
    <w:rsid w:val="00032036"/>
    <w:rsid w:val="00036227"/>
    <w:rsid w:val="00040BD8"/>
    <w:rsid w:val="00044953"/>
    <w:rsid w:val="00045B4D"/>
    <w:rsid w:val="000702C4"/>
    <w:rsid w:val="000725F5"/>
    <w:rsid w:val="00072AD2"/>
    <w:rsid w:val="0007725E"/>
    <w:rsid w:val="000B1478"/>
    <w:rsid w:val="000C4493"/>
    <w:rsid w:val="000C4690"/>
    <w:rsid w:val="000D25C4"/>
    <w:rsid w:val="00127B11"/>
    <w:rsid w:val="00134A67"/>
    <w:rsid w:val="001629D0"/>
    <w:rsid w:val="001A0164"/>
    <w:rsid w:val="001D47CD"/>
    <w:rsid w:val="001E146E"/>
    <w:rsid w:val="00200D6B"/>
    <w:rsid w:val="002320FF"/>
    <w:rsid w:val="00265F6E"/>
    <w:rsid w:val="002876BF"/>
    <w:rsid w:val="002A4A7A"/>
    <w:rsid w:val="002A4BF3"/>
    <w:rsid w:val="002C748B"/>
    <w:rsid w:val="002E5228"/>
    <w:rsid w:val="002F74EC"/>
    <w:rsid w:val="002F7BB6"/>
    <w:rsid w:val="003448B2"/>
    <w:rsid w:val="00345373"/>
    <w:rsid w:val="003565E0"/>
    <w:rsid w:val="00361DB2"/>
    <w:rsid w:val="00364E72"/>
    <w:rsid w:val="0037622E"/>
    <w:rsid w:val="00377102"/>
    <w:rsid w:val="003909EE"/>
    <w:rsid w:val="0039709B"/>
    <w:rsid w:val="003A34CE"/>
    <w:rsid w:val="003D72DA"/>
    <w:rsid w:val="003E42B3"/>
    <w:rsid w:val="003F1F97"/>
    <w:rsid w:val="004018A3"/>
    <w:rsid w:val="0041048F"/>
    <w:rsid w:val="004303C0"/>
    <w:rsid w:val="00437D59"/>
    <w:rsid w:val="00450915"/>
    <w:rsid w:val="00454B15"/>
    <w:rsid w:val="004610A4"/>
    <w:rsid w:val="004B2249"/>
    <w:rsid w:val="004B2275"/>
    <w:rsid w:val="004B29FF"/>
    <w:rsid w:val="004C76B7"/>
    <w:rsid w:val="004C7868"/>
    <w:rsid w:val="00503A3E"/>
    <w:rsid w:val="00527F02"/>
    <w:rsid w:val="00554CF6"/>
    <w:rsid w:val="00563F0E"/>
    <w:rsid w:val="005803E2"/>
    <w:rsid w:val="0058440A"/>
    <w:rsid w:val="00591983"/>
    <w:rsid w:val="005A4643"/>
    <w:rsid w:val="005B1E1A"/>
    <w:rsid w:val="005C238C"/>
    <w:rsid w:val="005D48B6"/>
    <w:rsid w:val="005E5BF6"/>
    <w:rsid w:val="005F12E3"/>
    <w:rsid w:val="00624A42"/>
    <w:rsid w:val="006330C5"/>
    <w:rsid w:val="0065522F"/>
    <w:rsid w:val="006A2E5D"/>
    <w:rsid w:val="006A30F7"/>
    <w:rsid w:val="006C42AD"/>
    <w:rsid w:val="006C7925"/>
    <w:rsid w:val="00721C41"/>
    <w:rsid w:val="00725345"/>
    <w:rsid w:val="00741CC0"/>
    <w:rsid w:val="007A5986"/>
    <w:rsid w:val="007B2D83"/>
    <w:rsid w:val="007B512F"/>
    <w:rsid w:val="007B58A1"/>
    <w:rsid w:val="007F7512"/>
    <w:rsid w:val="00810894"/>
    <w:rsid w:val="008143AB"/>
    <w:rsid w:val="0083345F"/>
    <w:rsid w:val="00836667"/>
    <w:rsid w:val="008654C3"/>
    <w:rsid w:val="00866D0F"/>
    <w:rsid w:val="008926EC"/>
    <w:rsid w:val="00897604"/>
    <w:rsid w:val="008C2F11"/>
    <w:rsid w:val="008D78B9"/>
    <w:rsid w:val="008E3F85"/>
    <w:rsid w:val="0090404E"/>
    <w:rsid w:val="009051E8"/>
    <w:rsid w:val="00914156"/>
    <w:rsid w:val="00916FF8"/>
    <w:rsid w:val="00922093"/>
    <w:rsid w:val="00930C85"/>
    <w:rsid w:val="009502BF"/>
    <w:rsid w:val="009A2648"/>
    <w:rsid w:val="009B38DA"/>
    <w:rsid w:val="009B5AA5"/>
    <w:rsid w:val="009E6C01"/>
    <w:rsid w:val="009F2F53"/>
    <w:rsid w:val="009F4187"/>
    <w:rsid w:val="009F7F5D"/>
    <w:rsid w:val="00A12E0F"/>
    <w:rsid w:val="00A37E61"/>
    <w:rsid w:val="00A51FAE"/>
    <w:rsid w:val="00A55971"/>
    <w:rsid w:val="00A60BAF"/>
    <w:rsid w:val="00A80845"/>
    <w:rsid w:val="00AA1DA8"/>
    <w:rsid w:val="00AB69F7"/>
    <w:rsid w:val="00AD097B"/>
    <w:rsid w:val="00AD64B9"/>
    <w:rsid w:val="00AE022B"/>
    <w:rsid w:val="00AE323A"/>
    <w:rsid w:val="00B009CC"/>
    <w:rsid w:val="00B0428B"/>
    <w:rsid w:val="00B0782A"/>
    <w:rsid w:val="00B2626F"/>
    <w:rsid w:val="00B62B8C"/>
    <w:rsid w:val="00B63343"/>
    <w:rsid w:val="00B87FF7"/>
    <w:rsid w:val="00B91753"/>
    <w:rsid w:val="00B9590F"/>
    <w:rsid w:val="00BA0B08"/>
    <w:rsid w:val="00BB40DB"/>
    <w:rsid w:val="00BB4C68"/>
    <w:rsid w:val="00BC0E82"/>
    <w:rsid w:val="00BD40F9"/>
    <w:rsid w:val="00C24BDE"/>
    <w:rsid w:val="00C41C86"/>
    <w:rsid w:val="00C508CD"/>
    <w:rsid w:val="00C573AC"/>
    <w:rsid w:val="00C63A6C"/>
    <w:rsid w:val="00C7183F"/>
    <w:rsid w:val="00C8369C"/>
    <w:rsid w:val="00C86FBD"/>
    <w:rsid w:val="00CA13AF"/>
    <w:rsid w:val="00CA1444"/>
    <w:rsid w:val="00CB1590"/>
    <w:rsid w:val="00CB7600"/>
    <w:rsid w:val="00CC0E9D"/>
    <w:rsid w:val="00CC3639"/>
    <w:rsid w:val="00CE7225"/>
    <w:rsid w:val="00D00B1D"/>
    <w:rsid w:val="00D00CB7"/>
    <w:rsid w:val="00D25F16"/>
    <w:rsid w:val="00D4662A"/>
    <w:rsid w:val="00D81945"/>
    <w:rsid w:val="00DE0E14"/>
    <w:rsid w:val="00E21CA9"/>
    <w:rsid w:val="00E228DD"/>
    <w:rsid w:val="00E31063"/>
    <w:rsid w:val="00E36FE9"/>
    <w:rsid w:val="00E73E98"/>
    <w:rsid w:val="00E75223"/>
    <w:rsid w:val="00E90D72"/>
    <w:rsid w:val="00EA0BE1"/>
    <w:rsid w:val="00EA378F"/>
    <w:rsid w:val="00EC23AC"/>
    <w:rsid w:val="00EC2992"/>
    <w:rsid w:val="00ED46A4"/>
    <w:rsid w:val="00ED6FD9"/>
    <w:rsid w:val="00EE3810"/>
    <w:rsid w:val="00F0312C"/>
    <w:rsid w:val="00F0424B"/>
    <w:rsid w:val="00F63C3B"/>
    <w:rsid w:val="00F959DB"/>
    <w:rsid w:val="00FA08AB"/>
    <w:rsid w:val="00FA38B2"/>
    <w:rsid w:val="00FA46F5"/>
    <w:rsid w:val="00FC0252"/>
    <w:rsid w:val="00FC0B26"/>
    <w:rsid w:val="00FD0873"/>
    <w:rsid w:val="00FD4C56"/>
    <w:rsid w:val="00FF30C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7052F51-8E17-477B-B469-2FE5CBE12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bidi/>
      <w:adjustRightInd w:val="0"/>
      <w:textAlignment w:val="baseline"/>
    </w:pPr>
    <w:rPr>
      <w:rFonts w:cs="David"/>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uller3">
    <w:name w:val="Ruller 3"/>
    <w:basedOn w:val="a"/>
    <w:rsid w:val="00A51FAE"/>
    <w:pPr>
      <w:tabs>
        <w:tab w:val="left" w:pos="3210"/>
        <w:tab w:val="left" w:pos="6753"/>
      </w:tabs>
      <w:spacing w:line="360" w:lineRule="auto"/>
    </w:pPr>
    <w:rPr>
      <w:rFonts w:cs="FrankRuehl"/>
      <w:spacing w:val="10"/>
      <w:sz w:val="22"/>
      <w:szCs w:val="28"/>
    </w:rPr>
  </w:style>
  <w:style w:type="paragraph" w:customStyle="1" w:styleId="Pskdinhead">
    <w:name w:val="Pskdin head"/>
    <w:basedOn w:val="a"/>
    <w:pPr>
      <w:spacing w:line="360" w:lineRule="auto"/>
    </w:pPr>
    <w:rPr>
      <w:b/>
      <w:bCs/>
      <w:u w:val="single"/>
    </w:rPr>
  </w:style>
  <w:style w:type="paragraph" w:customStyle="1" w:styleId="FileNumber">
    <w:name w:val="File Number"/>
    <w:basedOn w:val="a"/>
    <w:pPr>
      <w:spacing w:line="360" w:lineRule="auto"/>
      <w:jc w:val="right"/>
    </w:pPr>
    <w:rPr>
      <w:bCs/>
    </w:rPr>
  </w:style>
  <w:style w:type="paragraph" w:customStyle="1" w:styleId="FirstpagestylePsakdin">
    <w:name w:val="First page style Psak din"/>
    <w:basedOn w:val="Ruller3"/>
    <w:pPr>
      <w:tabs>
        <w:tab w:val="clear" w:pos="3210"/>
        <w:tab w:val="left" w:pos="3209"/>
      </w:tabs>
    </w:pPr>
    <w:rPr>
      <w:bCs/>
    </w:rPr>
  </w:style>
  <w:style w:type="paragraph" w:customStyle="1" w:styleId="TyutaDate">
    <w:name w:val="Tyuta Date"/>
    <w:basedOn w:val="a"/>
    <w:pPr>
      <w:jc w:val="center"/>
    </w:pPr>
    <w:rPr>
      <w:b/>
      <w:bCs/>
      <w:i/>
      <w:iCs/>
      <w:sz w:val="28"/>
      <w:szCs w:val="28"/>
    </w:rPr>
  </w:style>
  <w:style w:type="paragraph" w:customStyle="1" w:styleId="DocumentHead">
    <w:name w:val="Document Head"/>
    <w:basedOn w:val="a"/>
    <w:pPr>
      <w:spacing w:line="360" w:lineRule="auto"/>
      <w:jc w:val="center"/>
    </w:pPr>
    <w:rPr>
      <w:bCs/>
      <w:spacing w:val="30"/>
      <w:szCs w:val="28"/>
      <w:u w:val="single"/>
    </w:rPr>
  </w:style>
  <w:style w:type="paragraph" w:customStyle="1" w:styleId="TfutzaList">
    <w:name w:val="Tfutza List"/>
    <w:basedOn w:val="a"/>
    <w:rPr>
      <w:i/>
      <w:iCs/>
    </w:rPr>
  </w:style>
  <w:style w:type="paragraph" w:customStyle="1" w:styleId="Ruller40">
    <w:name w:val="Ruller4"/>
    <w:basedOn w:val="a"/>
    <w:link w:val="Ruller41"/>
    <w:rsid w:val="00A51FAE"/>
    <w:pPr>
      <w:tabs>
        <w:tab w:val="left" w:pos="800"/>
      </w:tabs>
      <w:spacing w:line="360" w:lineRule="auto"/>
      <w:jc w:val="both"/>
    </w:pPr>
    <w:rPr>
      <w:rFonts w:ascii="Arial TUR" w:hAnsi="Arial TUR" w:cs="FrankRuehl"/>
      <w:spacing w:val="10"/>
      <w:sz w:val="22"/>
      <w:szCs w:val="28"/>
    </w:rPr>
  </w:style>
  <w:style w:type="paragraph" w:customStyle="1" w:styleId="Ruller5">
    <w:name w:val="Ruller5"/>
    <w:basedOn w:val="a"/>
    <w:rsid w:val="00A51FAE"/>
    <w:pPr>
      <w:ind w:left="1642" w:right="1282"/>
      <w:jc w:val="both"/>
    </w:pPr>
    <w:rPr>
      <w:rFonts w:ascii="Arial TUR" w:hAnsi="Arial TUR" w:cs="FrankRuehl"/>
      <w:spacing w:val="10"/>
      <w:sz w:val="22"/>
      <w:szCs w:val="28"/>
    </w:rPr>
  </w:style>
  <w:style w:type="paragraph" w:customStyle="1" w:styleId="Ruller6">
    <w:name w:val="Ruller6"/>
    <w:basedOn w:val="a"/>
    <w:rsid w:val="00A51FAE"/>
    <w:pPr>
      <w:tabs>
        <w:tab w:val="left" w:pos="794"/>
        <w:tab w:val="left" w:pos="2268"/>
        <w:tab w:val="left" w:pos="5783"/>
        <w:tab w:val="left" w:pos="7371"/>
      </w:tabs>
    </w:pPr>
    <w:rPr>
      <w:rFonts w:ascii="Arial TUR" w:hAnsi="Arial TUR" w:cs="DavidFix"/>
      <w:spacing w:val="10"/>
      <w:sz w:val="22"/>
      <w:szCs w:val="20"/>
    </w:rPr>
  </w:style>
  <w:style w:type="character" w:customStyle="1" w:styleId="Delete">
    <w:name w:val="Delete"/>
    <w:rPr>
      <w:strike/>
    </w:rPr>
  </w:style>
  <w:style w:type="paragraph" w:customStyle="1" w:styleId="WriterName">
    <w:name w:val="Writer Name"/>
    <w:basedOn w:val="Ruller40"/>
    <w:next w:val="Ruller40"/>
    <w:rPr>
      <w:rFonts w:cs="David"/>
      <w:b/>
      <w:bCs/>
      <w:u w:val="single"/>
    </w:rPr>
  </w:style>
  <w:style w:type="character" w:customStyle="1" w:styleId="Hand">
    <w:name w:val="Hand"/>
    <w:rPr>
      <w:rFonts w:cs="Guttman Yad"/>
    </w:rPr>
  </w:style>
  <w:style w:type="paragraph" w:styleId="a3">
    <w:name w:val="footer"/>
    <w:basedOn w:val="a"/>
    <w:pPr>
      <w:tabs>
        <w:tab w:val="center" w:pos="4153"/>
        <w:tab w:val="right" w:pos="8306"/>
      </w:tabs>
    </w:pPr>
  </w:style>
  <w:style w:type="character" w:styleId="a4">
    <w:name w:val="page number"/>
    <w:basedOn w:val="a0"/>
  </w:style>
  <w:style w:type="paragraph" w:styleId="a5">
    <w:name w:val="header"/>
    <w:basedOn w:val="a"/>
    <w:pPr>
      <w:tabs>
        <w:tab w:val="center" w:pos="4153"/>
        <w:tab w:val="right" w:pos="8306"/>
      </w:tabs>
    </w:pPr>
  </w:style>
  <w:style w:type="paragraph" w:customStyle="1" w:styleId="2">
    <w:name w:val="ñâðåï2"/>
    <w:basedOn w:val="a"/>
    <w:pPr>
      <w:overflowPunct/>
      <w:textAlignment w:val="auto"/>
    </w:pPr>
    <w:rPr>
      <w:rFonts w:cs="Times New Roman"/>
    </w:rPr>
  </w:style>
  <w:style w:type="paragraph" w:customStyle="1" w:styleId="Casenameintextbody">
    <w:name w:val="Case name in text body"/>
    <w:basedOn w:val="a"/>
    <w:pPr>
      <w:overflowPunct/>
      <w:jc w:val="right"/>
      <w:textAlignment w:val="auto"/>
    </w:pPr>
    <w:rPr>
      <w:rFonts w:cs="Times New Roman"/>
      <w:b/>
      <w:bCs/>
      <w:u w:val="single"/>
    </w:rPr>
  </w:style>
  <w:style w:type="paragraph" w:customStyle="1" w:styleId="precasestyle">
    <w:name w:val="pre_case style"/>
    <w:basedOn w:val="a"/>
    <w:pPr>
      <w:tabs>
        <w:tab w:val="left" w:pos="2552"/>
      </w:tabs>
      <w:overflowPunct/>
      <w:ind w:right="2549"/>
      <w:textAlignment w:val="auto"/>
    </w:pPr>
    <w:rPr>
      <w:rFonts w:cs="Times New Roman"/>
    </w:rPr>
  </w:style>
  <w:style w:type="paragraph" w:customStyle="1" w:styleId="BodyRuller">
    <w:name w:val="Body Ruller"/>
    <w:basedOn w:val="a"/>
    <w:rPr>
      <w:sz w:val="22"/>
      <w:szCs w:val="28"/>
    </w:rPr>
  </w:style>
  <w:style w:type="paragraph" w:customStyle="1" w:styleId="Ruller38">
    <w:name w:val="סגנון Ruller 3 + (מורכב) ‏8 נק"/>
    <w:basedOn w:val="BodyRuller"/>
    <w:rPr>
      <w:szCs w:val="16"/>
    </w:rPr>
  </w:style>
  <w:style w:type="character" w:customStyle="1" w:styleId="Ruller30">
    <w:name w:val="Ruller 3 תו"/>
    <w:rPr>
      <w:rFonts w:cs="FrankRuehl"/>
      <w:sz w:val="22"/>
      <w:szCs w:val="28"/>
      <w:lang w:val="en-US" w:eastAsia="en-US" w:bidi="he-IL"/>
    </w:rPr>
  </w:style>
  <w:style w:type="character" w:customStyle="1" w:styleId="BodyRuller0">
    <w:name w:val="Body Ruller תו"/>
    <w:rPr>
      <w:rFonts w:cs="David"/>
      <w:sz w:val="22"/>
      <w:szCs w:val="28"/>
      <w:lang w:val="en-US" w:eastAsia="en-US" w:bidi="he-IL"/>
    </w:rPr>
  </w:style>
  <w:style w:type="character" w:customStyle="1" w:styleId="Ruller380">
    <w:name w:val="סגנון Ruller 3 + (מורכב) ‏8 נק תו"/>
    <w:rPr>
      <w:rFonts w:cs="David"/>
      <w:sz w:val="22"/>
      <w:szCs w:val="16"/>
      <w:lang w:val="en-US" w:eastAsia="en-US" w:bidi="he-IL"/>
    </w:rPr>
  </w:style>
  <w:style w:type="paragraph" w:customStyle="1" w:styleId="FileNumber0">
    <w:name w:val="סגנון File Number + ימין"/>
    <w:basedOn w:val="FileNumber"/>
    <w:rsid w:val="004C7868"/>
    <w:pPr>
      <w:jc w:val="left"/>
    </w:pPr>
    <w:rPr>
      <w:szCs w:val="28"/>
    </w:rPr>
  </w:style>
  <w:style w:type="paragraph" w:customStyle="1" w:styleId="BODYVERDICT">
    <w:name w:val="BODY VERDICT"/>
    <w:basedOn w:val="a"/>
    <w:rsid w:val="00036227"/>
    <w:rPr>
      <w:rFonts w:cs="FrankRuehl"/>
      <w:spacing w:val="10"/>
      <w:sz w:val="22"/>
      <w:szCs w:val="28"/>
    </w:rPr>
  </w:style>
  <w:style w:type="character" w:styleId="Hyperlink">
    <w:name w:val="Hyperlink"/>
    <w:rsid w:val="003F1F97"/>
    <w:rPr>
      <w:color w:val="0000FF"/>
      <w:u w:val="single"/>
    </w:rPr>
  </w:style>
  <w:style w:type="table" w:styleId="a6">
    <w:name w:val="Table Grid"/>
    <w:basedOn w:val="a1"/>
    <w:rsid w:val="003F1F97"/>
    <w:pPr>
      <w:overflowPunct w:val="0"/>
      <w:autoSpaceDE w:val="0"/>
      <w:autoSpaceDN w:val="0"/>
      <w:bidi/>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a0"/>
    <w:rsid w:val="0058440A"/>
    <w:rPr>
      <w:color w:val="954F72" w:themeColor="followedHyperlink"/>
      <w:u w:val="single"/>
    </w:rPr>
  </w:style>
  <w:style w:type="character" w:styleId="a7">
    <w:name w:val="annotation reference"/>
    <w:basedOn w:val="a0"/>
    <w:rsid w:val="00D00B1D"/>
    <w:rPr>
      <w:sz w:val="16"/>
      <w:szCs w:val="16"/>
    </w:rPr>
  </w:style>
  <w:style w:type="paragraph" w:styleId="a8">
    <w:name w:val="annotation text"/>
    <w:basedOn w:val="a"/>
    <w:link w:val="a9"/>
    <w:rsid w:val="00D00B1D"/>
    <w:rPr>
      <w:szCs w:val="20"/>
    </w:rPr>
  </w:style>
  <w:style w:type="character" w:customStyle="1" w:styleId="a9">
    <w:name w:val="טקסט הערה תו"/>
    <w:basedOn w:val="a0"/>
    <w:link w:val="a8"/>
    <w:rsid w:val="00D00B1D"/>
    <w:rPr>
      <w:rFonts w:cs="David"/>
    </w:rPr>
  </w:style>
  <w:style w:type="paragraph" w:styleId="aa">
    <w:name w:val="annotation subject"/>
    <w:basedOn w:val="a8"/>
    <w:next w:val="a8"/>
    <w:link w:val="ab"/>
    <w:rsid w:val="00D00B1D"/>
    <w:rPr>
      <w:b/>
      <w:bCs/>
    </w:rPr>
  </w:style>
  <w:style w:type="character" w:customStyle="1" w:styleId="ab">
    <w:name w:val="נושא הערה תו"/>
    <w:basedOn w:val="a9"/>
    <w:link w:val="aa"/>
    <w:rsid w:val="00D00B1D"/>
    <w:rPr>
      <w:rFonts w:cs="David"/>
      <w:b/>
      <w:bCs/>
    </w:rPr>
  </w:style>
  <w:style w:type="paragraph" w:styleId="ac">
    <w:name w:val="Balloon Text"/>
    <w:basedOn w:val="a"/>
    <w:link w:val="ad"/>
    <w:rsid w:val="00D00B1D"/>
    <w:rPr>
      <w:rFonts w:ascii="Tahoma" w:hAnsi="Tahoma" w:cs="Tahoma"/>
      <w:sz w:val="18"/>
      <w:szCs w:val="18"/>
    </w:rPr>
  </w:style>
  <w:style w:type="character" w:customStyle="1" w:styleId="ad">
    <w:name w:val="טקסט בלונים תו"/>
    <w:basedOn w:val="a0"/>
    <w:link w:val="ac"/>
    <w:rsid w:val="00D00B1D"/>
    <w:rPr>
      <w:rFonts w:ascii="Tahoma" w:hAnsi="Tahoma" w:cs="Tahoma"/>
      <w:sz w:val="18"/>
      <w:szCs w:val="18"/>
    </w:rPr>
  </w:style>
  <w:style w:type="paragraph" w:customStyle="1" w:styleId="Ruller4">
    <w:name w:val="Ruller 4 ממוספר"/>
    <w:basedOn w:val="Ruller40"/>
    <w:next w:val="Ruller40"/>
    <w:rsid w:val="00E228DD"/>
    <w:pPr>
      <w:numPr>
        <w:numId w:val="11"/>
      </w:numPr>
    </w:pPr>
    <w:rPr>
      <w:rFonts w:ascii="Garamond" w:hAnsi="Garamond"/>
      <w:sz w:val="24"/>
    </w:rPr>
  </w:style>
  <w:style w:type="character" w:customStyle="1" w:styleId="Ruller41">
    <w:name w:val="Ruller4 תו"/>
    <w:basedOn w:val="a0"/>
    <w:link w:val="Ruller40"/>
    <w:locked/>
    <w:rsid w:val="00450915"/>
    <w:rPr>
      <w:rFonts w:ascii="Arial TUR" w:hAnsi="Arial TUR" w:cs="FrankRuehl"/>
      <w:spacing w:val="10"/>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2DBC4-C6C7-48F8-AAFD-3C0EFCCCA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1902</Words>
  <Characters>9510</Characters>
  <Application>Microsoft Office Word</Application>
  <DocSecurity>0</DocSecurity>
  <Lines>79</Lines>
  <Paragraphs>22</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11390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אסתר טטרואשוילי</dc:creator>
  <cp:lastModifiedBy>אסתר טטרואשילי</cp:lastModifiedBy>
  <cp:revision>2</cp:revision>
  <dcterms:created xsi:type="dcterms:W3CDTF">2023-10-31T12:50:00Z</dcterms:created>
  <dcterms:modified xsi:type="dcterms:W3CDTF">2023-10-31T12:50:00Z</dcterms:modified>
</cp:coreProperties>
</file>